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E611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0"/>
        <w:jc w:val="both"/>
        <w:textAlignment w:val="auto"/>
        <w:rPr>
          <w:rFonts w:hint="default" w:ascii="Times New Roman" w:hAnsi="宋体"/>
          <w:b w:val="0"/>
          <w:i w:val="0"/>
          <w:snapToGrid/>
          <w:color w:val="000000" w:themeColor="text1"/>
          <w:sz w:val="21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黑体" w:hAnsi="黑体" w:eastAsia="黑体"/>
          <w:b w:val="0"/>
          <w:i w:val="0"/>
          <w:snapToGrid/>
          <w:color w:val="000000" w:themeColor="text1"/>
          <w:sz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b w:val="0"/>
          <w:i w:val="0"/>
          <w:snapToGrid/>
          <w:color w:val="000000" w:themeColor="text1"/>
          <w:sz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黑体" w:hAnsi="黑体" w:eastAsia="黑体"/>
          <w:b w:val="0"/>
          <w:i w:val="0"/>
          <w:snapToGrid/>
          <w:color w:val="000000" w:themeColor="text1"/>
          <w:sz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3F3F1C4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snapToGrid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snapToGrid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登封市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snapToGrid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公共资源交易中心</w:t>
      </w:r>
    </w:p>
    <w:p w14:paraId="3DDBDFD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snapToGrid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snapToGrid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代理机构“负面行为清单”</w:t>
      </w:r>
    </w:p>
    <w:tbl>
      <w:tblPr>
        <w:tblStyle w:val="5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563"/>
        <w:gridCol w:w="6454"/>
        <w:gridCol w:w="1265"/>
      </w:tblGrid>
      <w:tr w14:paraId="54C8B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095" w:type="dxa"/>
            <w:noWrap w:val="0"/>
            <w:vAlign w:val="center"/>
          </w:tcPr>
          <w:p w14:paraId="3856554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环节</w:t>
            </w:r>
          </w:p>
        </w:tc>
        <w:tc>
          <w:tcPr>
            <w:tcW w:w="563" w:type="dxa"/>
            <w:noWrap w:val="0"/>
            <w:vAlign w:val="center"/>
          </w:tcPr>
          <w:p w14:paraId="186ED81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  <w:p w14:paraId="1C86167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454" w:type="dxa"/>
            <w:noWrap w:val="0"/>
            <w:vAlign w:val="center"/>
          </w:tcPr>
          <w:p w14:paraId="4EA10FF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内容描述</w:t>
            </w:r>
          </w:p>
        </w:tc>
        <w:tc>
          <w:tcPr>
            <w:tcW w:w="1265" w:type="dxa"/>
            <w:noWrap w:val="0"/>
            <w:vAlign w:val="center"/>
          </w:tcPr>
          <w:p w14:paraId="7AB0C82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记分</w:t>
            </w:r>
          </w:p>
          <w:p w14:paraId="10F4E43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 w14:paraId="54EFC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95" w:type="dxa"/>
            <w:vMerge w:val="restart"/>
            <w:noWrap w:val="0"/>
            <w:vAlign w:val="center"/>
          </w:tcPr>
          <w:p w14:paraId="3019BDF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线上</w:t>
            </w:r>
          </w:p>
          <w:p w14:paraId="186CFA5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交易</w:t>
            </w:r>
          </w:p>
          <w:p w14:paraId="56CA2D1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环节</w:t>
            </w:r>
          </w:p>
        </w:tc>
        <w:tc>
          <w:tcPr>
            <w:tcW w:w="563" w:type="dxa"/>
            <w:noWrap w:val="0"/>
            <w:vAlign w:val="center"/>
          </w:tcPr>
          <w:p w14:paraId="248088A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4" w:type="dxa"/>
            <w:noWrap w:val="0"/>
            <w:vAlign w:val="center"/>
          </w:tcPr>
          <w:p w14:paraId="5B60170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代理机构及从业人员等信息发生变更后未及时提交变更信息。</w:t>
            </w:r>
          </w:p>
        </w:tc>
        <w:tc>
          <w:tcPr>
            <w:tcW w:w="1265" w:type="dxa"/>
            <w:noWrap w:val="0"/>
            <w:vAlign w:val="center"/>
          </w:tcPr>
          <w:p w14:paraId="4B7587C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</w:tr>
      <w:tr w14:paraId="20334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 w14:paraId="61EAC6D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noWrap w:val="0"/>
            <w:vAlign w:val="center"/>
          </w:tcPr>
          <w:p w14:paraId="611A835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454" w:type="dxa"/>
            <w:noWrap w:val="0"/>
            <w:vAlign w:val="center"/>
          </w:tcPr>
          <w:p w14:paraId="758E29D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因代理机构自身原因导致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项目信息不准确或标段划分有误，造成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项目重新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影响项目进度。</w:t>
            </w:r>
          </w:p>
        </w:tc>
        <w:tc>
          <w:tcPr>
            <w:tcW w:w="1265" w:type="dxa"/>
            <w:noWrap w:val="0"/>
            <w:vAlign w:val="center"/>
          </w:tcPr>
          <w:p w14:paraId="22CE34F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8分</w:t>
            </w:r>
          </w:p>
        </w:tc>
      </w:tr>
      <w:tr w14:paraId="6564B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 w14:paraId="73D4CEF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noWrap w:val="0"/>
            <w:vAlign w:val="center"/>
          </w:tcPr>
          <w:p w14:paraId="511ADA8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454" w:type="dxa"/>
            <w:noWrap w:val="0"/>
            <w:vAlign w:val="center"/>
          </w:tcPr>
          <w:p w14:paraId="4B6EB8E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招标（采购）公告发布后，未及时上传资格预审文件或招标（采购）文件，导致文件下载时间不一致。</w:t>
            </w:r>
          </w:p>
        </w:tc>
        <w:tc>
          <w:tcPr>
            <w:tcW w:w="1265" w:type="dxa"/>
            <w:noWrap w:val="0"/>
            <w:vAlign w:val="center"/>
          </w:tcPr>
          <w:p w14:paraId="4DABF3C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</w:tr>
      <w:tr w14:paraId="765A9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 w14:paraId="672E30F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noWrap w:val="0"/>
            <w:vAlign w:val="center"/>
          </w:tcPr>
          <w:p w14:paraId="110B842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454" w:type="dxa"/>
            <w:noWrap w:val="0"/>
            <w:vAlign w:val="center"/>
          </w:tcPr>
          <w:p w14:paraId="7856125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澄清或者修改内容可能影响资格预审申请文件或者投标文件编制，未按规定延期截止时间造成被质疑投诉。</w:t>
            </w:r>
          </w:p>
        </w:tc>
        <w:tc>
          <w:tcPr>
            <w:tcW w:w="1265" w:type="dxa"/>
            <w:noWrap w:val="0"/>
            <w:vAlign w:val="center"/>
          </w:tcPr>
          <w:p w14:paraId="751AB82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</w:tr>
      <w:tr w14:paraId="1134A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 w14:paraId="6676C71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noWrap w:val="0"/>
            <w:vAlign w:val="center"/>
          </w:tcPr>
          <w:p w14:paraId="0015D70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454" w:type="dxa"/>
            <w:noWrap w:val="0"/>
            <w:vAlign w:val="center"/>
          </w:tcPr>
          <w:p w14:paraId="716B952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进场交易项目评标办法选择错误，导致项目无法正常进行或废标。</w:t>
            </w:r>
          </w:p>
        </w:tc>
        <w:tc>
          <w:tcPr>
            <w:tcW w:w="1265" w:type="dxa"/>
            <w:noWrap w:val="0"/>
            <w:vAlign w:val="center"/>
          </w:tcPr>
          <w:p w14:paraId="259DDA2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</w:tr>
      <w:tr w14:paraId="3BA86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 w14:paraId="3FCC0C7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noWrap w:val="0"/>
            <w:vAlign w:val="center"/>
          </w:tcPr>
          <w:p w14:paraId="30CD36B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454" w:type="dxa"/>
            <w:noWrap w:val="0"/>
            <w:vAlign w:val="center"/>
          </w:tcPr>
          <w:p w14:paraId="699757C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系统录入的评分点与资格预审文件、招标（采购）文件不一致。</w:t>
            </w:r>
          </w:p>
        </w:tc>
        <w:tc>
          <w:tcPr>
            <w:tcW w:w="1265" w:type="dxa"/>
            <w:noWrap w:val="0"/>
            <w:vAlign w:val="center"/>
          </w:tcPr>
          <w:p w14:paraId="19C9FBC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</w:tr>
      <w:tr w14:paraId="26E89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 w14:paraId="1D0DDCD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noWrap w:val="0"/>
            <w:vAlign w:val="center"/>
          </w:tcPr>
          <w:p w14:paraId="71820BA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454" w:type="dxa"/>
            <w:noWrap w:val="0"/>
            <w:vAlign w:val="center"/>
          </w:tcPr>
          <w:p w14:paraId="72EC4DE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资格审查环节录入审查结果错误或签章错误。</w:t>
            </w:r>
          </w:p>
        </w:tc>
        <w:tc>
          <w:tcPr>
            <w:tcW w:w="1265" w:type="dxa"/>
            <w:noWrap w:val="0"/>
            <w:vAlign w:val="center"/>
          </w:tcPr>
          <w:p w14:paraId="6D15633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</w:tr>
      <w:tr w14:paraId="0AB27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 w14:paraId="1D2A412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noWrap w:val="0"/>
            <w:vAlign w:val="center"/>
          </w:tcPr>
          <w:p w14:paraId="4CE213D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454" w:type="dxa"/>
            <w:noWrap w:val="0"/>
            <w:vAlign w:val="center"/>
          </w:tcPr>
          <w:p w14:paraId="0DE01D9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项目评标结束后，未按规定的时间节点发布评标结果、中标（成交）结果。</w:t>
            </w:r>
          </w:p>
        </w:tc>
        <w:tc>
          <w:tcPr>
            <w:tcW w:w="1265" w:type="dxa"/>
            <w:noWrap w:val="0"/>
            <w:vAlign w:val="center"/>
          </w:tcPr>
          <w:p w14:paraId="143E812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</w:tr>
      <w:tr w14:paraId="14215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 w14:paraId="47CADEA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shd w:val="clear" w:color="auto" w:fill="auto"/>
            <w:noWrap w:val="0"/>
            <w:vAlign w:val="center"/>
          </w:tcPr>
          <w:p w14:paraId="2C09C4D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454" w:type="dxa"/>
            <w:shd w:val="clear" w:color="auto" w:fill="auto"/>
            <w:noWrap w:val="0"/>
            <w:vAlign w:val="center"/>
          </w:tcPr>
          <w:p w14:paraId="4A154B5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未按规定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专家抽取。</w:t>
            </w:r>
          </w:p>
        </w:tc>
        <w:tc>
          <w:tcPr>
            <w:tcW w:w="1265" w:type="dxa"/>
            <w:shd w:val="clear" w:color="auto" w:fill="auto"/>
            <w:noWrap w:val="0"/>
            <w:vAlign w:val="center"/>
          </w:tcPr>
          <w:p w14:paraId="5B2B604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</w:tr>
      <w:tr w14:paraId="622FB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 w14:paraId="0348774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noWrap w:val="0"/>
            <w:vAlign w:val="center"/>
          </w:tcPr>
          <w:p w14:paraId="6D60424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454" w:type="dxa"/>
            <w:noWrap w:val="0"/>
            <w:vAlign w:val="center"/>
          </w:tcPr>
          <w:p w14:paraId="2C4E03A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8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因代理机构自身原因（如：招标文件编制违反有关规定等）导致项目废标。</w:t>
            </w:r>
          </w:p>
        </w:tc>
        <w:tc>
          <w:tcPr>
            <w:tcW w:w="1265" w:type="dxa"/>
            <w:noWrap w:val="0"/>
            <w:vAlign w:val="center"/>
          </w:tcPr>
          <w:p w14:paraId="189F183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</w:tr>
      <w:tr w14:paraId="63481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 w14:paraId="26D18D3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noWrap w:val="0"/>
            <w:vAlign w:val="center"/>
          </w:tcPr>
          <w:p w14:paraId="520C4BF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454" w:type="dxa"/>
            <w:noWrap w:val="0"/>
            <w:vAlign w:val="center"/>
          </w:tcPr>
          <w:p w14:paraId="48BA0C8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8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交易过程中，未按照规定的时间节点进行系统操作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265" w:type="dxa"/>
            <w:noWrap w:val="0"/>
            <w:vAlign w:val="center"/>
          </w:tcPr>
          <w:p w14:paraId="516109D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8分</w:t>
            </w:r>
          </w:p>
        </w:tc>
      </w:tr>
      <w:tr w14:paraId="792BF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 w14:paraId="6A111CA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noWrap w:val="0"/>
            <w:vAlign w:val="center"/>
          </w:tcPr>
          <w:p w14:paraId="38A8992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454" w:type="dxa"/>
            <w:shd w:val="clear" w:color="auto" w:fill="auto"/>
            <w:noWrap w:val="0"/>
            <w:vAlign w:val="center"/>
          </w:tcPr>
          <w:p w14:paraId="5F5B783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发布的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信息公告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中存在严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重错误或被网络监测通报。</w:t>
            </w:r>
          </w:p>
        </w:tc>
        <w:tc>
          <w:tcPr>
            <w:tcW w:w="1265" w:type="dxa"/>
            <w:shd w:val="clear" w:color="auto" w:fill="auto"/>
            <w:noWrap w:val="0"/>
            <w:vAlign w:val="center"/>
          </w:tcPr>
          <w:p w14:paraId="5F08A97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8分</w:t>
            </w:r>
          </w:p>
        </w:tc>
      </w:tr>
      <w:tr w14:paraId="25D91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 w14:paraId="7840A84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noWrap w:val="0"/>
            <w:vAlign w:val="center"/>
          </w:tcPr>
          <w:p w14:paraId="558BF37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454" w:type="dxa"/>
            <w:noWrap w:val="0"/>
            <w:vAlign w:val="center"/>
          </w:tcPr>
          <w:p w14:paraId="03756FE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交易过程中，未向招标（采购）人尽到提醒告知义务，或未及时录入招标（采购）人评委信息影响评标工作效率。</w:t>
            </w:r>
          </w:p>
        </w:tc>
        <w:tc>
          <w:tcPr>
            <w:tcW w:w="1265" w:type="dxa"/>
            <w:noWrap w:val="0"/>
            <w:vAlign w:val="center"/>
          </w:tcPr>
          <w:p w14:paraId="1F4EF2F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</w:tr>
      <w:tr w14:paraId="490B8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5" w:type="dxa"/>
            <w:vMerge w:val="restart"/>
            <w:noWrap w:val="0"/>
            <w:vAlign w:val="center"/>
          </w:tcPr>
          <w:p w14:paraId="08E4215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 w14:paraId="297284D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606DF29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现场交易环节</w:t>
            </w:r>
          </w:p>
        </w:tc>
        <w:tc>
          <w:tcPr>
            <w:tcW w:w="563" w:type="dxa"/>
            <w:noWrap w:val="0"/>
            <w:vAlign w:val="center"/>
          </w:tcPr>
          <w:p w14:paraId="4180B66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454" w:type="dxa"/>
            <w:noWrap w:val="0"/>
            <w:vAlign w:val="center"/>
          </w:tcPr>
          <w:p w14:paraId="1DDF9B0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不接受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交易中心工作人员现场管理，经劝阻无效。</w:t>
            </w:r>
          </w:p>
        </w:tc>
        <w:tc>
          <w:tcPr>
            <w:tcW w:w="1265" w:type="dxa"/>
            <w:noWrap w:val="0"/>
            <w:vAlign w:val="center"/>
          </w:tcPr>
          <w:p w14:paraId="03FFA60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15分</w:t>
            </w:r>
          </w:p>
        </w:tc>
      </w:tr>
      <w:tr w14:paraId="06CB0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 w14:paraId="6C1550C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shd w:val="clear" w:color="auto" w:fill="auto"/>
            <w:noWrap w:val="0"/>
            <w:vAlign w:val="center"/>
          </w:tcPr>
          <w:p w14:paraId="3D393E8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454" w:type="dxa"/>
            <w:shd w:val="clear" w:color="auto" w:fill="auto"/>
            <w:noWrap w:val="0"/>
            <w:vAlign w:val="center"/>
          </w:tcPr>
          <w:p w14:paraId="30E65CC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未提醒项目监督人员到场监督。</w:t>
            </w:r>
          </w:p>
        </w:tc>
        <w:tc>
          <w:tcPr>
            <w:tcW w:w="1265" w:type="dxa"/>
            <w:shd w:val="clear" w:color="auto" w:fill="auto"/>
            <w:noWrap w:val="0"/>
            <w:vAlign w:val="center"/>
          </w:tcPr>
          <w:p w14:paraId="60A8537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</w:tr>
      <w:tr w14:paraId="47BC9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 w14:paraId="012E4DA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shd w:val="clear" w:color="auto" w:fill="auto"/>
            <w:noWrap w:val="0"/>
            <w:vAlign w:val="center"/>
          </w:tcPr>
          <w:p w14:paraId="242471D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454" w:type="dxa"/>
            <w:shd w:val="clear" w:color="auto" w:fill="auto"/>
            <w:noWrap w:val="0"/>
            <w:vAlign w:val="center"/>
          </w:tcPr>
          <w:p w14:paraId="2B4D8C7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16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向资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15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格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8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审查委员会、评标委员会成员明示或者暗示其倾向或者排斥特定投标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15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人的意向，干扰或影响公正独立评标。</w:t>
            </w:r>
          </w:p>
        </w:tc>
        <w:tc>
          <w:tcPr>
            <w:tcW w:w="1265" w:type="dxa"/>
            <w:shd w:val="clear" w:color="auto" w:fill="auto"/>
            <w:noWrap w:val="0"/>
            <w:vAlign w:val="center"/>
          </w:tcPr>
          <w:p w14:paraId="7DAAB1C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15分</w:t>
            </w:r>
          </w:p>
        </w:tc>
      </w:tr>
      <w:tr w14:paraId="4EFB8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 w14:paraId="5E94AEE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shd w:val="clear" w:color="auto" w:fill="auto"/>
            <w:noWrap w:val="0"/>
            <w:vAlign w:val="center"/>
          </w:tcPr>
          <w:p w14:paraId="0A49E9E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454" w:type="dxa"/>
            <w:shd w:val="clear" w:color="auto" w:fill="auto"/>
            <w:noWrap w:val="0"/>
            <w:vAlign w:val="center"/>
          </w:tcPr>
          <w:p w14:paraId="615C26B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未经允许擅自进入专家通道、储物区、监控中心、样品间。</w:t>
            </w:r>
          </w:p>
        </w:tc>
        <w:tc>
          <w:tcPr>
            <w:tcW w:w="1265" w:type="dxa"/>
            <w:shd w:val="clear" w:color="auto" w:fill="auto"/>
            <w:noWrap w:val="0"/>
            <w:vAlign w:val="center"/>
          </w:tcPr>
          <w:p w14:paraId="7C28963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</w:tr>
      <w:tr w14:paraId="33FA0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 w14:paraId="025CD5D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noWrap w:val="0"/>
            <w:vAlign w:val="center"/>
          </w:tcPr>
          <w:p w14:paraId="619AC41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454" w:type="dxa"/>
            <w:noWrap w:val="0"/>
            <w:vAlign w:val="center"/>
          </w:tcPr>
          <w:p w14:paraId="00B5496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影响其他项目交易秩序。</w:t>
            </w:r>
          </w:p>
        </w:tc>
        <w:tc>
          <w:tcPr>
            <w:tcW w:w="1265" w:type="dxa"/>
            <w:noWrap w:val="0"/>
            <w:vAlign w:val="center"/>
          </w:tcPr>
          <w:p w14:paraId="732C591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15分</w:t>
            </w:r>
          </w:p>
        </w:tc>
      </w:tr>
      <w:tr w14:paraId="449FB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 w14:paraId="0C58CB6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noWrap w:val="0"/>
            <w:vAlign w:val="center"/>
          </w:tcPr>
          <w:p w14:paraId="10E34B1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6454" w:type="dxa"/>
            <w:noWrap w:val="0"/>
            <w:vAlign w:val="center"/>
          </w:tcPr>
          <w:p w14:paraId="0589A95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醉酒参与交易现场交易活动。</w:t>
            </w:r>
          </w:p>
        </w:tc>
        <w:tc>
          <w:tcPr>
            <w:tcW w:w="1265" w:type="dxa"/>
            <w:noWrap w:val="0"/>
            <w:vAlign w:val="center"/>
          </w:tcPr>
          <w:p w14:paraId="6874175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</w:tr>
      <w:tr w14:paraId="6624F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 w14:paraId="49B2E20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shd w:val="clear" w:color="auto" w:fill="auto"/>
            <w:noWrap w:val="0"/>
            <w:vAlign w:val="center"/>
          </w:tcPr>
          <w:p w14:paraId="61EBE95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454" w:type="dxa"/>
            <w:shd w:val="clear" w:color="auto" w:fill="auto"/>
            <w:noWrap w:val="0"/>
            <w:vAlign w:val="center"/>
          </w:tcPr>
          <w:p w14:paraId="332C3B6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除招标（采购）人、项目监督人员、代理机构人员以外，带领与项目无关人员进入开标室。</w:t>
            </w:r>
          </w:p>
        </w:tc>
        <w:tc>
          <w:tcPr>
            <w:tcW w:w="1265" w:type="dxa"/>
            <w:shd w:val="clear" w:color="auto" w:fill="auto"/>
            <w:noWrap w:val="0"/>
            <w:vAlign w:val="center"/>
          </w:tcPr>
          <w:p w14:paraId="36E5CD1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</w:tr>
      <w:tr w14:paraId="4EAF5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 w14:paraId="739D313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shd w:val="clear" w:color="auto" w:fill="auto"/>
            <w:noWrap w:val="0"/>
            <w:vAlign w:val="center"/>
          </w:tcPr>
          <w:p w14:paraId="44F95C9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6454" w:type="dxa"/>
            <w:shd w:val="clear" w:color="auto" w:fill="auto"/>
            <w:noWrap w:val="0"/>
            <w:vAlign w:val="center"/>
          </w:tcPr>
          <w:p w14:paraId="2DB7E6A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8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未按照招标（采购）文件的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8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要求依法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组织开标。</w:t>
            </w:r>
          </w:p>
        </w:tc>
        <w:tc>
          <w:tcPr>
            <w:tcW w:w="1265" w:type="dxa"/>
            <w:shd w:val="clear" w:color="auto" w:fill="auto"/>
            <w:noWrap w:val="0"/>
            <w:vAlign w:val="center"/>
          </w:tcPr>
          <w:p w14:paraId="4678E0F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</w:tr>
      <w:tr w14:paraId="65A04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 w14:paraId="0EB4F21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shd w:val="clear" w:color="auto" w:fill="auto"/>
            <w:noWrap w:val="0"/>
            <w:vAlign w:val="center"/>
          </w:tcPr>
          <w:p w14:paraId="7198565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6454" w:type="dxa"/>
            <w:shd w:val="clear" w:color="auto" w:fill="auto"/>
            <w:noWrap w:val="0"/>
            <w:vAlign w:val="center"/>
          </w:tcPr>
          <w:p w14:paraId="7A51FD2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进入开标区域随意挪动中心设施设备，导致其不能正常运行。</w:t>
            </w:r>
          </w:p>
        </w:tc>
        <w:tc>
          <w:tcPr>
            <w:tcW w:w="1265" w:type="dxa"/>
            <w:shd w:val="clear" w:color="auto" w:fill="auto"/>
            <w:noWrap w:val="0"/>
            <w:vAlign w:val="center"/>
          </w:tcPr>
          <w:p w14:paraId="5CDD4BE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</w:tr>
      <w:tr w14:paraId="54510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 w14:paraId="4BCA443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shd w:val="clear" w:color="auto" w:fill="auto"/>
            <w:noWrap w:val="0"/>
            <w:vAlign w:val="center"/>
          </w:tcPr>
          <w:p w14:paraId="7FB948C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6454" w:type="dxa"/>
            <w:shd w:val="clear" w:color="auto" w:fill="auto"/>
            <w:noWrap w:val="0"/>
            <w:vAlign w:val="center"/>
          </w:tcPr>
          <w:p w14:paraId="473C67A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未按时保障评标（评审）专家就餐，造成不良影响。</w:t>
            </w:r>
          </w:p>
        </w:tc>
        <w:tc>
          <w:tcPr>
            <w:tcW w:w="1265" w:type="dxa"/>
            <w:shd w:val="clear" w:color="auto" w:fill="auto"/>
            <w:noWrap w:val="0"/>
            <w:vAlign w:val="center"/>
          </w:tcPr>
          <w:p w14:paraId="1A0DBCA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</w:tr>
      <w:tr w14:paraId="65A9B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 w14:paraId="6A477D4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shd w:val="clear" w:color="auto" w:fill="auto"/>
            <w:noWrap w:val="0"/>
            <w:vAlign w:val="center"/>
          </w:tcPr>
          <w:p w14:paraId="5A05486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454" w:type="dxa"/>
            <w:shd w:val="clear" w:color="auto" w:fill="auto"/>
            <w:noWrap w:val="0"/>
            <w:vAlign w:val="center"/>
          </w:tcPr>
          <w:p w14:paraId="72E86A9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8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隔夜项目未及时办理专家住宿手续。</w:t>
            </w:r>
          </w:p>
        </w:tc>
        <w:tc>
          <w:tcPr>
            <w:tcW w:w="1265" w:type="dxa"/>
            <w:shd w:val="clear" w:color="auto" w:fill="auto"/>
            <w:noWrap w:val="0"/>
            <w:vAlign w:val="center"/>
          </w:tcPr>
          <w:p w14:paraId="7FEA90A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</w:tr>
      <w:tr w14:paraId="6F154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 w14:paraId="6A96296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noWrap w:val="0"/>
            <w:vAlign w:val="center"/>
          </w:tcPr>
          <w:p w14:paraId="1E1926D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6454" w:type="dxa"/>
            <w:noWrap w:val="0"/>
            <w:vAlign w:val="center"/>
          </w:tcPr>
          <w:p w14:paraId="3D194A9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项目相关人员未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按要求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佩戴身份标识进入相应区域。</w:t>
            </w:r>
          </w:p>
        </w:tc>
        <w:tc>
          <w:tcPr>
            <w:tcW w:w="1265" w:type="dxa"/>
            <w:noWrap w:val="0"/>
            <w:vAlign w:val="center"/>
          </w:tcPr>
          <w:p w14:paraId="390C836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</w:tr>
      <w:tr w14:paraId="694BD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 w14:paraId="07C0171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shd w:val="clear" w:color="auto" w:fill="auto"/>
            <w:noWrap w:val="0"/>
            <w:vAlign w:val="center"/>
          </w:tcPr>
          <w:p w14:paraId="396284D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6454" w:type="dxa"/>
            <w:shd w:val="clear" w:color="auto" w:fill="auto"/>
            <w:noWrap w:val="0"/>
            <w:vAlign w:val="center"/>
          </w:tcPr>
          <w:p w14:paraId="4A60DFF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8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发现交易活动中有违规违纪行为，未及时阻止或不主动向行政监督部门报告。</w:t>
            </w:r>
          </w:p>
        </w:tc>
        <w:tc>
          <w:tcPr>
            <w:tcW w:w="1265" w:type="dxa"/>
            <w:shd w:val="clear" w:color="auto" w:fill="auto"/>
            <w:noWrap w:val="0"/>
            <w:vAlign w:val="center"/>
          </w:tcPr>
          <w:p w14:paraId="3B8620D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</w:tr>
    </w:tbl>
    <w:p w14:paraId="573DC8C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vertAlign w:val="baseline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474" w:bottom="1984" w:left="1587" w:header="850" w:footer="1417" w:gutter="0"/>
          <w:pgNumType w:fmt="decimal"/>
          <w:cols w:space="720" w:num="1"/>
          <w:docGrid w:type="lines" w:linePitch="312" w:charSpace="0"/>
        </w:sectPr>
      </w:pPr>
    </w:p>
    <w:tbl>
      <w:tblPr>
        <w:tblStyle w:val="5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563"/>
        <w:gridCol w:w="6454"/>
        <w:gridCol w:w="1265"/>
      </w:tblGrid>
      <w:tr w14:paraId="78232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vMerge w:val="restart"/>
            <w:noWrap w:val="0"/>
            <w:vAlign w:val="center"/>
          </w:tcPr>
          <w:p w14:paraId="349D86E9">
            <w:pPr>
              <w:pStyle w:val="2"/>
              <w:rPr>
                <w:rFonts w:hint="eastAsia"/>
              </w:rPr>
            </w:pPr>
          </w:p>
          <w:p w14:paraId="0DD4EADB">
            <w:pPr>
              <w:pStyle w:val="2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  <w:tc>
          <w:tcPr>
            <w:tcW w:w="563" w:type="dxa"/>
            <w:shd w:val="clear" w:color="auto" w:fill="auto"/>
            <w:noWrap w:val="0"/>
            <w:vAlign w:val="center"/>
          </w:tcPr>
          <w:p w14:paraId="5344171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6454" w:type="dxa"/>
            <w:shd w:val="clear" w:color="auto" w:fill="auto"/>
            <w:noWrap w:val="0"/>
            <w:vAlign w:val="center"/>
          </w:tcPr>
          <w:p w14:paraId="7BD9627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未按招标（采购）人委托范围办理招标事宜。</w:t>
            </w:r>
          </w:p>
        </w:tc>
        <w:tc>
          <w:tcPr>
            <w:tcW w:w="1265" w:type="dxa"/>
            <w:shd w:val="clear" w:color="auto" w:fill="auto"/>
            <w:noWrap w:val="0"/>
            <w:vAlign w:val="center"/>
          </w:tcPr>
          <w:p w14:paraId="6D287EC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1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15分</w:t>
            </w:r>
          </w:p>
        </w:tc>
      </w:tr>
      <w:tr w14:paraId="29C34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 w14:paraId="2959BABA">
            <w:pPr>
              <w:pStyle w:val="2"/>
              <w:rPr>
                <w:rFonts w:hint="eastAsia"/>
              </w:rPr>
            </w:pPr>
          </w:p>
        </w:tc>
        <w:tc>
          <w:tcPr>
            <w:tcW w:w="563" w:type="dxa"/>
            <w:shd w:val="clear" w:color="auto" w:fill="auto"/>
            <w:noWrap w:val="0"/>
            <w:vAlign w:val="center"/>
          </w:tcPr>
          <w:p w14:paraId="2CCF803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6454" w:type="dxa"/>
            <w:shd w:val="clear" w:color="auto" w:fill="auto"/>
            <w:noWrap w:val="0"/>
            <w:vAlign w:val="center"/>
          </w:tcPr>
          <w:p w14:paraId="55BC0DB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15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项目未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9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在投标有效期内完成定标，且没有通知所有投标人（供应商）延长投标有效期。</w:t>
            </w:r>
          </w:p>
        </w:tc>
        <w:tc>
          <w:tcPr>
            <w:tcW w:w="1265" w:type="dxa"/>
            <w:shd w:val="clear" w:color="auto" w:fill="auto"/>
            <w:noWrap w:val="0"/>
            <w:vAlign w:val="center"/>
          </w:tcPr>
          <w:p w14:paraId="7F86830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8分</w:t>
            </w:r>
          </w:p>
        </w:tc>
      </w:tr>
      <w:tr w14:paraId="1066B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 w14:paraId="158E810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noWrap w:val="0"/>
            <w:vAlign w:val="center"/>
          </w:tcPr>
          <w:p w14:paraId="56AF297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6454" w:type="dxa"/>
            <w:noWrap w:val="0"/>
            <w:vAlign w:val="center"/>
          </w:tcPr>
          <w:p w14:paraId="572BAC5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9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向投标人（供应商）泄露评标信息（评标委员会成员、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8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对投标文件的评审和比较、中标候选人推荐和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9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打分情况等）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5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265" w:type="dxa"/>
            <w:noWrap w:val="0"/>
            <w:vAlign w:val="center"/>
          </w:tcPr>
          <w:p w14:paraId="2B27961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15分</w:t>
            </w:r>
          </w:p>
        </w:tc>
      </w:tr>
      <w:tr w14:paraId="7FB6A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 w14:paraId="518C168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noWrap w:val="0"/>
            <w:vAlign w:val="center"/>
          </w:tcPr>
          <w:p w14:paraId="2510B27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454" w:type="dxa"/>
            <w:noWrap w:val="0"/>
            <w:vAlign w:val="center"/>
          </w:tcPr>
          <w:p w14:paraId="0D1D6EB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未按规定落实样品接收、保管、退还责任。</w:t>
            </w:r>
          </w:p>
        </w:tc>
        <w:tc>
          <w:tcPr>
            <w:tcW w:w="1265" w:type="dxa"/>
            <w:noWrap w:val="0"/>
            <w:vAlign w:val="center"/>
          </w:tcPr>
          <w:p w14:paraId="4A6A379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</w:tr>
      <w:tr w14:paraId="38446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 w14:paraId="6950278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noWrap w:val="0"/>
            <w:vAlign w:val="center"/>
          </w:tcPr>
          <w:p w14:paraId="3DB74D1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6454" w:type="dxa"/>
            <w:noWrap w:val="0"/>
            <w:vAlign w:val="center"/>
          </w:tcPr>
          <w:p w14:paraId="3643D86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8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无故不参加交易平台培训。</w:t>
            </w:r>
          </w:p>
        </w:tc>
        <w:tc>
          <w:tcPr>
            <w:tcW w:w="1265" w:type="dxa"/>
            <w:noWrap w:val="0"/>
            <w:vAlign w:val="center"/>
          </w:tcPr>
          <w:p w14:paraId="1D603FF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1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 w14:paraId="61328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 w14:paraId="312FA74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noWrap w:val="0"/>
            <w:vAlign w:val="center"/>
          </w:tcPr>
          <w:p w14:paraId="75A45C9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454" w:type="dxa"/>
            <w:noWrap w:val="0"/>
            <w:vAlign w:val="center"/>
          </w:tcPr>
          <w:p w14:paraId="6EAA977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8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佩戴伪造、变造身份标识。</w:t>
            </w:r>
          </w:p>
        </w:tc>
        <w:tc>
          <w:tcPr>
            <w:tcW w:w="1265" w:type="dxa"/>
            <w:noWrap w:val="0"/>
            <w:vAlign w:val="center"/>
          </w:tcPr>
          <w:p w14:paraId="0086634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8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</w:tr>
      <w:tr w14:paraId="25C5A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 w14:paraId="3AA7673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noWrap w:val="0"/>
            <w:vAlign w:val="center"/>
          </w:tcPr>
          <w:p w14:paraId="68F08E2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6454" w:type="dxa"/>
            <w:noWrap w:val="0"/>
            <w:vAlign w:val="center"/>
          </w:tcPr>
          <w:p w14:paraId="72176D8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其他负面行为。</w:t>
            </w:r>
          </w:p>
        </w:tc>
        <w:tc>
          <w:tcPr>
            <w:tcW w:w="1265" w:type="dxa"/>
            <w:noWrap w:val="0"/>
            <w:vAlign w:val="center"/>
          </w:tcPr>
          <w:p w14:paraId="7BE8888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12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5-15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pacing w:val="-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</w:tbl>
    <w:p w14:paraId="34C12A6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BD81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24F73DB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94296B"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6B5739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6B5739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4409B"/>
    <w:rsid w:val="5AB4409B"/>
    <w:rsid w:val="7960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2011</Words>
  <Characters>2063</Characters>
  <Lines>0</Lines>
  <Paragraphs>0</Paragraphs>
  <TotalTime>0</TotalTime>
  <ScaleCrop>false</ScaleCrop>
  <LinksUpToDate>false</LinksUpToDate>
  <CharactersWithSpaces>2084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2024-12-26T08:10:00Z</dcterms:created>
  <dc:creator>阳光下丶微笑1403848208</dc:creator>
  <cp:lastModifiedBy>阳光下丶微笑1403848208</cp:lastModifiedBy>
  <dcterms:modified xsi:type="dcterms:W3CDTF">2024-12-26T08:15:16Z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9AB5FB1C15A74825A4D3368EC9DA6285_11</vt:lpwstr>
  </property>
</Properties>
</file>