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1188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黑体" w:hAnsi="黑体" w:eastAsia="黑体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C9D0C9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 w:themeColor="text1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 w:themeColor="text1"/>
          <w:sz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登封市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 w:themeColor="text1"/>
          <w:sz w:val="44"/>
          <w:shd w:val="clear" w:color="auto" w:fill="FFFFFF"/>
          <w14:textFill>
            <w14:solidFill>
              <w14:schemeClr w14:val="tx1"/>
            </w14:solidFill>
          </w14:textFill>
        </w:rPr>
        <w:t>公共资源交易中心</w:t>
      </w:r>
    </w:p>
    <w:p w14:paraId="1C9F7D9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 w:themeColor="text1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 w:themeColor="text1"/>
          <w:sz w:val="44"/>
          <w:shd w:val="clear" w:color="auto" w:fill="FFFFFF"/>
          <w14:textFill>
            <w14:solidFill>
              <w14:schemeClr w14:val="tx1"/>
            </w14:solidFill>
          </w14:textFill>
        </w:rPr>
        <w:t>代理机构负面行为管理办法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 w:themeColor="text1"/>
          <w:sz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（试行）</w:t>
      </w:r>
    </w:p>
    <w:p w14:paraId="2332BB8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1"/>
        <w:jc w:val="center"/>
        <w:textAlignment w:val="auto"/>
        <w:rPr>
          <w:rFonts w:hint="default" w:ascii="Times New Roman" w:hAnsi="宋体"/>
          <w:b w:val="0"/>
          <w:i w:val="0"/>
          <w:snapToGrid/>
          <w:color w:val="000000" w:themeColor="text1"/>
          <w:sz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宋体"/>
          <w:b/>
          <w:i w:val="0"/>
          <w:snapToGrid/>
          <w:color w:val="000000" w:themeColor="text1"/>
          <w:sz w:val="4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38DC156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第一条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为进一步加强代理机构交易行为管理，保障公共资源交易活动依法、高效、有序开展，根据《中华人民共和国招标投标法》《中华人民共和国招标投标法实施条例》《中华人民共和国政府采购法》《中华人民共和国政府采购法实施条例》等相关法律法规和规范性文件规定，结合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登封市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公共资源交易中心（以下简称“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交易中心”）工作实际，制定本办法。</w:t>
      </w:r>
    </w:p>
    <w:p w14:paraId="4333472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第二条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本办法适用于进入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交易中心从事公共资源交易活动的代理机构负面行为管理。</w:t>
      </w:r>
    </w:p>
    <w:p w14:paraId="1215C30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第三条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本办法所称代理机构负面行为，是指代理机构在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交易中心从事公共资源交易活动中违反有关法律法规、规章制度，妨碍公共资源交易公平公正、规范有序开展的行为。</w:t>
      </w:r>
    </w:p>
    <w:p w14:paraId="0DF62FD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第四条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代理机构应加强学习，熟悉招投标、政府采购等相关法律法规，掌握电子化交易流程和专业领域知识；遵纪守法，严守职业道德，公正履行职责并承担相应责任。</w:t>
      </w:r>
    </w:p>
    <w:p w14:paraId="5D989B6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  代理机构有下列情形之一的，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交易中心及时报送相关行政监督部门，在行政监督部门做出处理前暂停代理机构项目登记业务。被行政监督部门依法处理的，按照其处理结果执行。</w:t>
      </w:r>
    </w:p>
    <w:p w14:paraId="45E2102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（一）对现场工作人员或评标（评审）专家等进行人格侮辱、人身攻击等扰乱现场交易秩序的；</w:t>
      </w:r>
    </w:p>
    <w:p w14:paraId="41763CA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（二）伪造、变造进场交易材料的；</w:t>
      </w:r>
    </w:p>
    <w:p w14:paraId="20ECACB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（三）贿赂或采取不正当方式接触评标（评审）专家的；</w:t>
      </w:r>
    </w:p>
    <w:p w14:paraId="1BD92A8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（四）与招标（采购）人、投标人（供应商）、评标（评审）专家及其他利害关系人串通损害国家利益、社会公共利益或者他人合法权益的；</w:t>
      </w:r>
    </w:p>
    <w:p w14:paraId="5B41AC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（五）其他违反法律法规及有关规定的行为。</w:t>
      </w:r>
    </w:p>
    <w:p w14:paraId="4CA36C7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交易中心对代理机构负面行为采用量化分值进行记录管理，以一年度为一周期累计汇总，期满清零，但暂停进场交易期限不受影响。</w:t>
      </w:r>
    </w:p>
    <w:p w14:paraId="22A1668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  对代理机构负面行为的情形实施记分管理，记分分值分别为15分、10分、8分、5分。</w:t>
      </w:r>
    </w:p>
    <w:p w14:paraId="2EA6A4C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交易中心建立代理机构负面行为管理机制，负责对其负面行为进行记录、核实，并书面通知代理机构。代理机构对通知内容有异议的，可在通知之日起5个工作日内提出书面申请，经查实属于记分不当的，予以修正。</w:t>
      </w:r>
    </w:p>
    <w:p w14:paraId="45375D6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第九条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负面行为清单采用动态管理。每个周期内，累计达到20分的，采取约谈提醒方式督促其规范进场交易行为；累计达到30分的，暂停三个月进场交易；累计达到50分的，暂停六个月进场交易。</w:t>
      </w:r>
    </w:p>
    <w:p w14:paraId="542EE33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第十条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 法律法规另有规定的，从其规定。</w:t>
      </w:r>
    </w:p>
    <w:p w14:paraId="587B5CF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  本办法由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交易中心负责解释。</w:t>
      </w:r>
    </w:p>
    <w:p w14:paraId="024F73D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  本办法自202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日起试行。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4296B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B573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6B573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4409B"/>
    <w:rsid w:val="173D690A"/>
    <w:rsid w:val="5AB4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2011</Words>
  <Characters>2063</Characters>
  <Lines>0</Lines>
  <Paragraphs>0</Paragraphs>
  <TotalTime>0</TotalTime>
  <ScaleCrop>false</ScaleCrop>
  <LinksUpToDate>false</LinksUpToDate>
  <CharactersWithSpaces>2084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2024-12-26T08:10:00Z</dcterms:created>
  <dc:creator>阳光下丶微笑1403848208</dc:creator>
  <cp:lastModifiedBy>阳光下丶微笑1403848208</cp:lastModifiedBy>
  <dcterms:modified xsi:type="dcterms:W3CDTF">2024-12-26T08:14:43Z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9AB5FB1C15A74825A4D3368EC9DA6285_11</vt:lpwstr>
  </property>
</Properties>
</file>