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登封市农业农村工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委员会            关于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2021年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招投标领域“双随机一公开”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工作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报告</w:t>
      </w:r>
    </w:p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>程招投标活动，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进一步加大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领域招标投标事后监管力度，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按照《登封市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农业农村工作委员会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开展“双随机一公开”监管工作的实施方案》要求，对全市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农业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工程建设领域招投标情况进行了“双随机一公开”抽查，现将监管抽查情况报告如下：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一、随</w:t>
      </w:r>
      <w:r>
        <w:rPr>
          <w:rFonts w:hint="eastAsia" w:ascii="黑体" w:hAnsi="黑体" w:eastAsia="黑体" w:cs="黑体"/>
          <w:sz w:val="32"/>
          <w:szCs w:val="32"/>
        </w:rPr>
        <w:t>机抽取检查项目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2021年1月至11月的时间节点，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登封市公共资源交易中心农业工程招投标库中</w:t>
      </w:r>
      <w:r>
        <w:rPr>
          <w:rFonts w:hint="eastAsia" w:ascii="仿宋_GB2312" w:hAnsi="仿宋_GB2312" w:eastAsia="仿宋_GB2312" w:cs="仿宋_GB2312"/>
          <w:sz w:val="32"/>
          <w:szCs w:val="32"/>
        </w:rPr>
        <w:t>随机抽取到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登封市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2020年旱作节水农业推广项目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为本次监督检查对象。本次抽查的项目方为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河南辰潼建设工程有限公司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检查内容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工程招标投标活动中招标人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招标代理机构的行为、评标专家的评标行为、投标人的市场行为以及中标人的履约行为等。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三、检查结果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项目招投标流程及行为符合法律法规要求。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</w:p>
    <w:p>
      <w:pPr>
        <w:bidi w:val="0"/>
        <w:ind w:firstLine="5120" w:firstLineChars="1600"/>
        <w:rPr>
          <w:rFonts w:hint="default" w:ascii="仿宋_GB2312" w:hAnsi="仿宋_GB2312" w:eastAsia="仿宋_GB2312" w:cs="仿宋_GB2312"/>
          <w:color w:val="3D4B64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2021年11月22日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D7414"/>
    <w:rsid w:val="325B54EB"/>
    <w:rsid w:val="36640382"/>
    <w:rsid w:val="3CD222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346</Characters>
  <Paragraphs>12</Paragraphs>
  <TotalTime>183</TotalTime>
  <ScaleCrop>false</ScaleCrop>
  <LinksUpToDate>false</LinksUpToDate>
  <CharactersWithSpaces>392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2021-12-07T03:48:00Z</cp:lastPrinted>
  <dcterms:modified xsi:type="dcterms:W3CDTF">2022-02-18T03:49:08Z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B72EF922143B4E5695DCFB22560CB02A</vt:lpwstr>
  </property>
</Properties>
</file>