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bidi w:val="0"/>
        <w:spacing w:line="360" w:lineRule="auto"/>
        <w:ind w:firstLine="0" w:firstLineChars="0"/>
        <w:textAlignment w:val="auto"/>
        <w:rPr>
          <w:rFonts w:cs="Arial"/>
          <w:color w:val="FF0000"/>
        </w:rPr>
      </w:pPr>
      <w:bookmarkStart w:id="0" w:name="_Toc386638201"/>
      <w:bookmarkStart w:id="1" w:name="_Toc386638477"/>
    </w:p>
    <w:p>
      <w:pPr>
        <w:pageBreakBefore w:val="0"/>
        <w:kinsoku/>
        <w:bidi w:val="0"/>
        <w:spacing w:before="156" w:beforeLines="50" w:after="31" w:afterLines="10" w:line="360" w:lineRule="auto"/>
        <w:ind w:firstLine="0" w:firstLineChars="0"/>
        <w:jc w:val="center"/>
        <w:textAlignment w:val="auto"/>
        <w:rPr>
          <w:rFonts w:hint="eastAsia" w:cs="Arial"/>
          <w:b/>
          <w:sz w:val="48"/>
          <w:szCs w:val="48"/>
          <w:lang w:eastAsia="zh-CN"/>
        </w:rPr>
      </w:pPr>
      <w:r>
        <w:rPr>
          <w:rFonts w:hint="eastAsia" w:cs="Arial"/>
          <w:b/>
          <w:sz w:val="48"/>
          <w:szCs w:val="48"/>
          <w:lang w:eastAsia="zh-CN"/>
        </w:rPr>
        <w:t>登封市环嵩山旅游公路改建工程</w:t>
      </w:r>
    </w:p>
    <w:p>
      <w:pPr>
        <w:pageBreakBefore w:val="0"/>
        <w:kinsoku/>
        <w:bidi w:val="0"/>
        <w:spacing w:before="156" w:beforeLines="50" w:after="31" w:afterLines="10" w:line="360" w:lineRule="auto"/>
        <w:ind w:firstLine="0" w:firstLineChars="0"/>
        <w:jc w:val="center"/>
        <w:textAlignment w:val="auto"/>
        <w:rPr>
          <w:rFonts w:cs="Arial"/>
          <w:b/>
          <w:sz w:val="48"/>
          <w:szCs w:val="48"/>
        </w:rPr>
      </w:pPr>
      <w:r>
        <w:rPr>
          <w:rFonts w:hint="eastAsia" w:cs="Arial"/>
          <w:b/>
          <w:sz w:val="48"/>
          <w:szCs w:val="48"/>
          <w:lang w:eastAsia="zh-CN"/>
        </w:rPr>
        <w:t>PPP项目</w:t>
      </w:r>
      <w:r>
        <w:rPr>
          <w:rFonts w:hint="eastAsia" w:cs="Arial"/>
          <w:b/>
          <w:sz w:val="48"/>
          <w:szCs w:val="48"/>
        </w:rPr>
        <w:t>社会资本方</w:t>
      </w:r>
    </w:p>
    <w:p>
      <w:pPr>
        <w:pageBreakBefore w:val="0"/>
        <w:kinsoku/>
        <w:bidi w:val="0"/>
        <w:spacing w:after="31" w:afterLines="10" w:line="360" w:lineRule="auto"/>
        <w:ind w:firstLine="0" w:firstLineChars="0"/>
        <w:jc w:val="center"/>
        <w:textAlignment w:val="auto"/>
        <w:rPr>
          <w:rFonts w:cs="Arial"/>
          <w:b/>
          <w:sz w:val="44"/>
          <w:szCs w:val="44"/>
        </w:rPr>
      </w:pPr>
    </w:p>
    <w:p>
      <w:pPr>
        <w:pageBreakBefore w:val="0"/>
        <w:kinsoku/>
        <w:bidi w:val="0"/>
        <w:spacing w:after="31" w:afterLines="10" w:line="360" w:lineRule="auto"/>
        <w:ind w:firstLine="0" w:firstLineChars="0"/>
        <w:jc w:val="center"/>
        <w:textAlignment w:val="auto"/>
        <w:rPr>
          <w:rFonts w:hint="eastAsia" w:cs="Arial"/>
          <w:b/>
          <w:sz w:val="72"/>
          <w:szCs w:val="72"/>
        </w:rPr>
      </w:pPr>
      <w:r>
        <w:rPr>
          <w:rFonts w:hint="eastAsia" w:cs="Arial"/>
          <w:b/>
          <w:sz w:val="72"/>
          <w:szCs w:val="72"/>
        </w:rPr>
        <w:t>采购文件</w:t>
      </w:r>
    </w:p>
    <w:p>
      <w:pPr>
        <w:pStyle w:val="2"/>
        <w:rPr>
          <w:rFonts w:hint="eastAsia" w:cs="Arial"/>
          <w:b/>
          <w:sz w:val="72"/>
          <w:szCs w:val="72"/>
        </w:rPr>
      </w:pPr>
    </w:p>
    <w:p>
      <w:pPr>
        <w:pStyle w:val="5"/>
      </w:pPr>
    </w:p>
    <w:p>
      <w:pPr>
        <w:pageBreakBefore w:val="0"/>
        <w:kinsoku/>
        <w:bidi w:val="0"/>
        <w:spacing w:before="31" w:beforeLines="10" w:after="31" w:afterLines="10" w:line="360" w:lineRule="auto"/>
        <w:ind w:firstLine="0" w:firstLineChars="0"/>
        <w:jc w:val="center"/>
        <w:textAlignment w:val="auto"/>
        <w:rPr>
          <w:rFonts w:cs="Arial"/>
          <w:szCs w:val="24"/>
        </w:rPr>
      </w:pPr>
      <w:r>
        <w:rPr>
          <w:rFonts w:hint="default" w:ascii="Times New Roman" w:hAnsi="Times New Roman" w:eastAsia="宋体" w:cs="Times New Roman"/>
          <w:kern w:val="2"/>
          <w:sz w:val="28"/>
          <w:szCs w:val="24"/>
          <w:lang w:val="en-US" w:eastAsia="zh-CN" w:bidi="ar"/>
        </w:rPr>
        <w:drawing>
          <wp:inline distT="0" distB="0" distL="114300" distR="114300">
            <wp:extent cx="2647950" cy="2571750"/>
            <wp:effectExtent l="0" t="0" r="0" b="0"/>
            <wp:docPr id="1" name="图片 2" descr="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标志"/>
                    <pic:cNvPicPr>
                      <a:picLocks noChangeAspect="1"/>
                    </pic:cNvPicPr>
                  </pic:nvPicPr>
                  <pic:blipFill>
                    <a:blip r:embed="rId12" r:link="rId13"/>
                    <a:srcRect/>
                    <a:stretch>
                      <a:fillRect/>
                    </a:stretch>
                  </pic:blipFill>
                  <pic:spPr>
                    <a:xfrm>
                      <a:off x="0" y="0"/>
                      <a:ext cx="2647950" cy="2571750"/>
                    </a:xfrm>
                    <a:prstGeom prst="rect">
                      <a:avLst/>
                    </a:prstGeom>
                    <a:noFill/>
                    <a:ln w="9525">
                      <a:noFill/>
                      <a:miter/>
                    </a:ln>
                  </pic:spPr>
                </pic:pic>
              </a:graphicData>
            </a:graphic>
          </wp:inline>
        </w:drawing>
      </w:r>
    </w:p>
    <w:p>
      <w:pPr>
        <w:pageBreakBefore w:val="0"/>
        <w:kinsoku/>
        <w:bidi w:val="0"/>
        <w:spacing w:before="31" w:beforeLines="10" w:after="31" w:afterLines="10" w:line="360" w:lineRule="auto"/>
        <w:ind w:firstLine="0" w:firstLineChars="0"/>
        <w:jc w:val="center"/>
        <w:textAlignment w:val="auto"/>
        <w:rPr>
          <w:rFonts w:eastAsia="黑体" w:cs="Arial"/>
          <w:color w:val="000000"/>
          <w:sz w:val="32"/>
          <w:szCs w:val="32"/>
        </w:rPr>
      </w:pPr>
    </w:p>
    <w:p>
      <w:pPr>
        <w:pageBreakBefore w:val="0"/>
        <w:kinsoku/>
        <w:autoSpaceDE w:val="0"/>
        <w:autoSpaceDN w:val="0"/>
        <w:bidi w:val="0"/>
        <w:adjustRightInd w:val="0"/>
        <w:spacing w:line="360" w:lineRule="auto"/>
        <w:ind w:firstLine="1600" w:firstLineChars="500"/>
        <w:jc w:val="left"/>
        <w:textAlignment w:val="auto"/>
        <w:rPr>
          <w:rFonts w:ascii="宋体" w:hAnsi="宋体" w:cs="宋体"/>
          <w:b/>
          <w:color w:val="000000"/>
          <w:kern w:val="0"/>
          <w:sz w:val="32"/>
          <w:szCs w:val="32"/>
        </w:rPr>
      </w:pPr>
      <w:r>
        <w:rPr>
          <w:rFonts w:hint="eastAsia" w:ascii="宋体" w:hAnsi="宋体" w:cs="宋体"/>
          <w:b/>
          <w:color w:val="000000"/>
          <w:kern w:val="0"/>
          <w:sz w:val="32"/>
          <w:szCs w:val="32"/>
          <w:lang w:bidi="ar"/>
        </w:rPr>
        <w:t>采 购 人：</w:t>
      </w:r>
      <w:r>
        <w:rPr>
          <w:rFonts w:hint="eastAsia" w:ascii="宋体" w:hAnsi="宋体" w:cs="宋体"/>
          <w:b/>
          <w:color w:val="000000"/>
          <w:kern w:val="0"/>
          <w:sz w:val="32"/>
          <w:szCs w:val="32"/>
          <w:lang w:eastAsia="zh-CN" w:bidi="ar"/>
        </w:rPr>
        <w:t>登封市交通运输局</w:t>
      </w:r>
    </w:p>
    <w:p>
      <w:pPr>
        <w:pageBreakBefore w:val="0"/>
        <w:kinsoku/>
        <w:autoSpaceDE w:val="0"/>
        <w:autoSpaceDN w:val="0"/>
        <w:bidi w:val="0"/>
        <w:adjustRightInd w:val="0"/>
        <w:spacing w:line="360" w:lineRule="auto"/>
        <w:ind w:firstLine="1600" w:firstLineChars="500"/>
        <w:jc w:val="left"/>
        <w:textAlignment w:val="auto"/>
        <w:rPr>
          <w:rFonts w:ascii="宋体" w:hAnsi="宋体" w:cs="宋体"/>
          <w:b/>
          <w:color w:val="000000"/>
          <w:kern w:val="0"/>
          <w:sz w:val="32"/>
          <w:szCs w:val="32"/>
        </w:rPr>
      </w:pPr>
      <w:r>
        <w:rPr>
          <w:rFonts w:hint="eastAsia" w:ascii="宋体" w:hAnsi="宋体" w:cs="宋体"/>
          <w:b/>
          <w:color w:val="000000"/>
          <w:kern w:val="0"/>
          <w:sz w:val="32"/>
          <w:szCs w:val="32"/>
          <w:lang w:bidi="ar"/>
        </w:rPr>
        <w:t>代理机构：</w:t>
      </w:r>
      <w:r>
        <w:rPr>
          <w:rFonts w:hint="eastAsia" w:ascii="宋体" w:hAnsi="宋体" w:cs="宋体"/>
          <w:b/>
          <w:color w:val="000000"/>
          <w:kern w:val="0"/>
          <w:sz w:val="32"/>
          <w:szCs w:val="32"/>
          <w:lang w:eastAsia="zh-CN" w:bidi="ar"/>
        </w:rPr>
        <w:t>河南方大建设工程管理股份有限公司</w:t>
      </w:r>
    </w:p>
    <w:p>
      <w:pPr>
        <w:pageBreakBefore w:val="0"/>
        <w:kinsoku/>
        <w:bidi w:val="0"/>
        <w:spacing w:line="360" w:lineRule="auto"/>
        <w:ind w:firstLine="1600" w:firstLineChars="500"/>
        <w:jc w:val="left"/>
        <w:textAlignment w:val="auto"/>
        <w:rPr>
          <w:rFonts w:hint="eastAsia" w:ascii="宋体" w:hAnsi="宋体" w:cs="宋体"/>
          <w:b/>
          <w:sz w:val="32"/>
          <w:szCs w:val="32"/>
          <w:lang w:bidi="ar"/>
        </w:rPr>
      </w:pPr>
      <w:r>
        <w:rPr>
          <w:rFonts w:hint="eastAsia" w:ascii="宋体" w:hAnsi="宋体" w:cs="宋体"/>
          <w:b/>
          <w:sz w:val="32"/>
          <w:szCs w:val="32"/>
          <w:lang w:bidi="ar"/>
        </w:rPr>
        <w:t>日    期：二零一</w:t>
      </w:r>
      <w:r>
        <w:rPr>
          <w:rFonts w:hint="eastAsia" w:ascii="宋体" w:hAnsi="宋体" w:cs="宋体"/>
          <w:b/>
          <w:sz w:val="32"/>
          <w:szCs w:val="32"/>
          <w:lang w:val="en-US" w:eastAsia="zh-CN" w:bidi="ar"/>
        </w:rPr>
        <w:t>八</w:t>
      </w:r>
      <w:r>
        <w:rPr>
          <w:rFonts w:hint="eastAsia" w:ascii="宋体" w:hAnsi="宋体" w:cs="宋体"/>
          <w:b/>
          <w:sz w:val="32"/>
          <w:szCs w:val="32"/>
          <w:lang w:bidi="ar"/>
        </w:rPr>
        <w:t>年</w:t>
      </w:r>
      <w:r>
        <w:rPr>
          <w:rFonts w:hint="eastAsia" w:ascii="宋体" w:hAnsi="宋体" w:cs="宋体"/>
          <w:b/>
          <w:sz w:val="32"/>
          <w:szCs w:val="32"/>
          <w:lang w:val="en-US" w:eastAsia="zh-CN" w:bidi="ar"/>
        </w:rPr>
        <w:t>四</w:t>
      </w:r>
      <w:r>
        <w:rPr>
          <w:rFonts w:hint="eastAsia" w:ascii="宋体" w:hAnsi="宋体" w:cs="宋体"/>
          <w:b/>
          <w:sz w:val="32"/>
          <w:szCs w:val="32"/>
          <w:lang w:bidi="ar"/>
        </w:rPr>
        <w:t>月</w:t>
      </w:r>
    </w:p>
    <w:p>
      <w:pPr>
        <w:pageBreakBefore w:val="0"/>
        <w:kinsoku/>
        <w:bidi w:val="0"/>
        <w:spacing w:line="360" w:lineRule="auto"/>
        <w:ind w:firstLine="2150" w:firstLineChars="672"/>
        <w:jc w:val="left"/>
        <w:textAlignment w:val="auto"/>
        <w:rPr>
          <w:rFonts w:hint="eastAsia" w:ascii="宋体" w:hAnsi="宋体" w:cs="宋体"/>
          <w:b/>
          <w:sz w:val="32"/>
          <w:szCs w:val="32"/>
          <w:lang w:bidi="ar"/>
        </w:rPr>
      </w:pPr>
    </w:p>
    <w:p>
      <w:pPr>
        <w:pStyle w:val="5"/>
        <w:rPr>
          <w:rFonts w:hint="eastAsia" w:ascii="宋体" w:hAnsi="宋体" w:cs="宋体"/>
          <w:b/>
          <w:sz w:val="32"/>
          <w:szCs w:val="32"/>
          <w:lang w:bidi="ar"/>
        </w:rPr>
      </w:pPr>
    </w:p>
    <w:p>
      <w:pPr>
        <w:pStyle w:val="5"/>
        <w:rPr>
          <w:rFonts w:hint="eastAsia" w:ascii="宋体" w:hAnsi="宋体" w:cs="宋体"/>
          <w:b/>
          <w:sz w:val="32"/>
          <w:szCs w:val="32"/>
          <w:lang w:bidi="ar"/>
        </w:rPr>
      </w:pPr>
    </w:p>
    <w:p>
      <w:pPr>
        <w:pageBreakBefore w:val="0"/>
        <w:kinsoku/>
        <w:bidi w:val="0"/>
        <w:spacing w:line="360" w:lineRule="auto"/>
        <w:ind w:firstLine="2150" w:firstLineChars="672"/>
        <w:jc w:val="left"/>
        <w:textAlignment w:val="auto"/>
        <w:rPr>
          <w:rFonts w:cs="Arial"/>
          <w:b/>
          <w:sz w:val="30"/>
          <w:szCs w:val="30"/>
        </w:rPr>
      </w:pPr>
      <w:r>
        <w:rPr>
          <w:rFonts w:hint="eastAsia" w:ascii="宋体" w:hAnsi="宋体" w:cs="宋体"/>
          <w:b/>
          <w:sz w:val="32"/>
          <w:szCs w:val="32"/>
          <w:lang w:bidi="ar"/>
        </w:rPr>
        <w:t xml:space="preserve">               </w:t>
      </w:r>
      <w:r>
        <w:rPr>
          <w:rFonts w:cs="Arial"/>
          <w:b/>
          <w:sz w:val="30"/>
          <w:szCs w:val="30"/>
        </w:rPr>
        <w:t>目  录</w:t>
      </w:r>
    </w:p>
    <w:p>
      <w:pPr>
        <w:pStyle w:val="25"/>
        <w:pageBreakBefore w:val="0"/>
        <w:kinsoku/>
        <w:bidi w:val="0"/>
        <w:spacing w:line="360" w:lineRule="auto"/>
        <w:textAlignment w:val="auto"/>
        <w:rPr>
          <w:rFonts w:asciiTheme="minorHAnsi" w:hAnsiTheme="minorHAnsi" w:eastAsiaTheme="minorEastAsia" w:cstheme="minorBidi"/>
          <w:b w:val="0"/>
          <w:bCs w:val="0"/>
          <w:caps w:val="0"/>
          <w:sz w:val="21"/>
          <w:szCs w:val="22"/>
        </w:rPr>
      </w:pPr>
      <w:r>
        <w:rPr>
          <w:rFonts w:cs="Arial"/>
          <w:szCs w:val="28"/>
        </w:rPr>
        <w:fldChar w:fldCharType="begin"/>
      </w:r>
      <w:r>
        <w:rPr>
          <w:rFonts w:cs="Arial"/>
          <w:szCs w:val="28"/>
        </w:rPr>
        <w:instrText xml:space="preserve"> TOC \o "1-3" \h \z \u </w:instrText>
      </w:r>
      <w:r>
        <w:rPr>
          <w:rFonts w:cs="Arial"/>
          <w:szCs w:val="28"/>
        </w:rPr>
        <w:fldChar w:fldCharType="separate"/>
      </w:r>
      <w:r>
        <w:fldChar w:fldCharType="begin"/>
      </w:r>
      <w:r>
        <w:instrText xml:space="preserve"> HYPERLINK \l "_Toc437271228" </w:instrText>
      </w:r>
      <w:r>
        <w:fldChar w:fldCharType="separate"/>
      </w:r>
      <w:r>
        <w:rPr>
          <w:rStyle w:val="39"/>
          <w:rFonts w:hint="eastAsia"/>
        </w:rPr>
        <w:t>第一卷</w:t>
      </w:r>
      <w:r>
        <w:rPr>
          <w:rStyle w:val="39"/>
        </w:rPr>
        <w:t xml:space="preserve">  </w:t>
      </w:r>
      <w:r>
        <w:rPr>
          <w:rStyle w:val="39"/>
          <w:rFonts w:hint="eastAsia"/>
        </w:rPr>
        <w:t>招标文件</w:t>
      </w:r>
      <w:r>
        <w:tab/>
      </w:r>
      <w:r>
        <w:fldChar w:fldCharType="begin"/>
      </w:r>
      <w:r>
        <w:instrText xml:space="preserve"> PAGEREF _Toc437271228 \h </w:instrText>
      </w:r>
      <w:r>
        <w:fldChar w:fldCharType="separate"/>
      </w:r>
      <w:r>
        <w:t>6</w:t>
      </w:r>
      <w:r>
        <w:fldChar w:fldCharType="end"/>
      </w:r>
      <w:r>
        <w:fldChar w:fldCharType="end"/>
      </w:r>
    </w:p>
    <w:p>
      <w:pPr>
        <w:pStyle w:val="25"/>
        <w:pageBreakBefore w:val="0"/>
        <w:kinsoku/>
        <w:bidi w:val="0"/>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"_Toc437271229" </w:instrText>
      </w:r>
      <w:r>
        <w:fldChar w:fldCharType="separate"/>
      </w:r>
      <w:r>
        <w:rPr>
          <w:rStyle w:val="39"/>
          <w:rFonts w:hint="eastAsia"/>
        </w:rPr>
        <w:t>第一章</w:t>
      </w:r>
      <w:r>
        <w:rPr>
          <w:rStyle w:val="39"/>
          <w:rFonts w:hint="eastAsia"/>
          <w:lang w:val="en-US" w:eastAsia="zh-CN"/>
        </w:rPr>
        <w:t xml:space="preserve">  </w:t>
      </w:r>
      <w:r>
        <w:rPr>
          <w:rStyle w:val="39"/>
          <w:rFonts w:hint="eastAsia"/>
        </w:rPr>
        <w:t>采购邀请</w:t>
      </w:r>
      <w:r>
        <w:tab/>
      </w:r>
      <w:r>
        <w:rPr>
          <w:rFonts w:hint="eastAsia"/>
          <w:lang w:val="en-US" w:eastAsia="zh-CN"/>
        </w:rPr>
        <w:t>3</w:t>
      </w:r>
      <w:r>
        <w:fldChar w:fldCharType="end"/>
      </w:r>
    </w:p>
    <w:p>
      <w:pPr>
        <w:pStyle w:val="25"/>
        <w:pageBreakBefore w:val="0"/>
        <w:kinsoku/>
        <w:bidi w:val="0"/>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"_Toc437271230" </w:instrText>
      </w:r>
      <w:r>
        <w:fldChar w:fldCharType="separate"/>
      </w:r>
      <w:r>
        <w:rPr>
          <w:rStyle w:val="39"/>
          <w:rFonts w:hint="eastAsia"/>
        </w:rPr>
        <w:t>第二章</w:t>
      </w:r>
      <w:r>
        <w:rPr>
          <w:rStyle w:val="39"/>
          <w:rFonts w:hint="eastAsia"/>
          <w:lang w:val="en-US" w:eastAsia="zh-CN"/>
        </w:rPr>
        <w:t xml:space="preserve">  </w:t>
      </w:r>
      <w:r>
        <w:rPr>
          <w:rStyle w:val="39"/>
          <w:rFonts w:hint="eastAsia"/>
        </w:rPr>
        <w:t>投标人须知</w:t>
      </w:r>
      <w:r>
        <w:tab/>
      </w:r>
      <w:r>
        <w:fldChar w:fldCharType="end"/>
      </w:r>
      <w:r>
        <w:rPr>
          <w:rFonts w:hint="eastAsia"/>
          <w:lang w:val="en-US" w:eastAsia="zh-CN"/>
        </w:rPr>
        <w:t>5</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"_Toc437271231" </w:instrText>
      </w:r>
      <w:r>
        <w:fldChar w:fldCharType="separate"/>
      </w:r>
      <w:r>
        <w:rPr>
          <w:rStyle w:val="39"/>
          <w:rFonts w:hint="eastAsia"/>
        </w:rPr>
        <w:t>投标人须知前附表</w:t>
      </w:r>
      <w:r>
        <w:tab/>
      </w:r>
      <w:r>
        <w:fldChar w:fldCharType="end"/>
      </w:r>
      <w:r>
        <w:rPr>
          <w:rFonts w:hint="eastAsia"/>
          <w:lang w:val="en-US" w:eastAsia="zh-CN"/>
        </w:rPr>
        <w:t>5</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"_Toc437271232" </w:instrText>
      </w:r>
      <w:r>
        <w:fldChar w:fldCharType="separate"/>
      </w:r>
      <w:r>
        <w:rPr>
          <w:rStyle w:val="39"/>
        </w:rPr>
        <w:t>1</w:t>
      </w:r>
      <w:r>
        <w:rPr>
          <w:rFonts w:eastAsiaTheme="minorEastAsia" w:cstheme="minorBidi"/>
          <w:smallCaps w:val="0"/>
          <w:sz w:val="21"/>
          <w:szCs w:val="22"/>
        </w:rPr>
        <w:tab/>
      </w:r>
      <w:r>
        <w:rPr>
          <w:rStyle w:val="39"/>
          <w:rFonts w:hint="eastAsia"/>
        </w:rPr>
        <w:t>说明</w:t>
      </w:r>
      <w:r>
        <w:tab/>
      </w:r>
      <w:r>
        <w:fldChar w:fldCharType="end"/>
      </w:r>
      <w:r>
        <w:rPr>
          <w:rFonts w:hint="eastAsia"/>
          <w:lang w:val="en-US" w:eastAsia="zh-CN"/>
        </w:rPr>
        <w:t>16</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"_Toc437271233" </w:instrText>
      </w:r>
      <w:r>
        <w:fldChar w:fldCharType="separate"/>
      </w:r>
      <w:r>
        <w:rPr>
          <w:rStyle w:val="39"/>
        </w:rPr>
        <w:t>1.1</w:t>
      </w:r>
      <w:r>
        <w:rPr>
          <w:rFonts w:eastAsiaTheme="minorEastAsia" w:cstheme="minorBidi"/>
          <w:i w:val="0"/>
          <w:iCs w:val="0"/>
          <w:sz w:val="21"/>
          <w:szCs w:val="22"/>
        </w:rPr>
        <w:tab/>
      </w:r>
      <w:r>
        <w:rPr>
          <w:rStyle w:val="39"/>
          <w:rFonts w:hint="eastAsia"/>
        </w:rPr>
        <w:t>定义</w:t>
      </w:r>
      <w:r>
        <w:tab/>
      </w:r>
      <w:r>
        <w:fldChar w:fldCharType="end"/>
      </w:r>
      <w:r>
        <w:rPr>
          <w:rFonts w:hint="eastAsia"/>
          <w:lang w:val="en-US" w:eastAsia="zh-CN"/>
        </w:rPr>
        <w:t>16</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"_Toc437271234" </w:instrText>
      </w:r>
      <w:r>
        <w:fldChar w:fldCharType="separate"/>
      </w:r>
      <w:r>
        <w:rPr>
          <w:rStyle w:val="39"/>
        </w:rPr>
        <w:t>1.2</w:t>
      </w:r>
      <w:r>
        <w:rPr>
          <w:rFonts w:eastAsiaTheme="minorEastAsia" w:cstheme="minorBidi"/>
          <w:i w:val="0"/>
          <w:iCs w:val="0"/>
          <w:sz w:val="21"/>
          <w:szCs w:val="22"/>
        </w:rPr>
        <w:tab/>
      </w:r>
      <w:r>
        <w:rPr>
          <w:rStyle w:val="39"/>
          <w:rFonts w:hint="eastAsia"/>
        </w:rPr>
        <w:t>项目采购须具备条件</w:t>
      </w:r>
      <w:r>
        <w:tab/>
      </w:r>
      <w:r>
        <w:fldChar w:fldCharType="end"/>
      </w:r>
      <w:r>
        <w:rPr>
          <w:rFonts w:hint="eastAsia"/>
          <w:lang w:val="en-US" w:eastAsia="zh-CN"/>
        </w:rPr>
        <w:t>17</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"_Toc437271235" </w:instrText>
      </w:r>
      <w:r>
        <w:fldChar w:fldCharType="separate"/>
      </w:r>
      <w:r>
        <w:rPr>
          <w:rStyle w:val="39"/>
        </w:rPr>
        <w:t>1.3</w:t>
      </w:r>
      <w:r>
        <w:rPr>
          <w:rFonts w:eastAsiaTheme="minorEastAsia" w:cstheme="minorBidi"/>
          <w:i w:val="0"/>
          <w:iCs w:val="0"/>
          <w:sz w:val="21"/>
          <w:szCs w:val="22"/>
        </w:rPr>
        <w:tab/>
      </w:r>
      <w:r>
        <w:rPr>
          <w:rStyle w:val="39"/>
          <w:rFonts w:hint="eastAsia"/>
        </w:rPr>
        <w:t>采购当事人</w:t>
      </w:r>
      <w:r>
        <w:tab/>
      </w:r>
      <w:r>
        <w:fldChar w:fldCharType="end"/>
      </w:r>
      <w:r>
        <w:rPr>
          <w:rFonts w:hint="eastAsia"/>
          <w:lang w:val="en-US" w:eastAsia="zh-CN"/>
        </w:rPr>
        <w:t>18</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"_Toc437271236" </w:instrText>
      </w:r>
      <w:r>
        <w:fldChar w:fldCharType="separate"/>
      </w:r>
      <w:r>
        <w:rPr>
          <w:rStyle w:val="39"/>
        </w:rPr>
        <w:t>1.4</w:t>
      </w:r>
      <w:r>
        <w:rPr>
          <w:rFonts w:eastAsiaTheme="minorEastAsia" w:cstheme="minorBidi"/>
          <w:i w:val="0"/>
          <w:iCs w:val="0"/>
          <w:sz w:val="21"/>
          <w:szCs w:val="22"/>
        </w:rPr>
        <w:tab/>
      </w:r>
      <w:r>
        <w:rPr>
          <w:rStyle w:val="39"/>
          <w:rFonts w:hint="eastAsia"/>
        </w:rPr>
        <w:t>合格的投标人</w:t>
      </w:r>
      <w:r>
        <w:tab/>
      </w:r>
      <w:r>
        <w:fldChar w:fldCharType="end"/>
      </w:r>
      <w:r>
        <w:rPr>
          <w:rFonts w:hint="eastAsia"/>
          <w:lang w:val="en-US" w:eastAsia="zh-CN"/>
        </w:rPr>
        <w:t>18</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"_Toc437271237" </w:instrText>
      </w:r>
      <w:r>
        <w:fldChar w:fldCharType="separate"/>
      </w:r>
      <w:r>
        <w:rPr>
          <w:rStyle w:val="39"/>
        </w:rPr>
        <w:t>1.5</w:t>
      </w:r>
      <w:r>
        <w:rPr>
          <w:rFonts w:eastAsiaTheme="minorEastAsia" w:cstheme="minorBidi"/>
          <w:i w:val="0"/>
          <w:iCs w:val="0"/>
          <w:sz w:val="21"/>
          <w:szCs w:val="22"/>
        </w:rPr>
        <w:tab/>
      </w:r>
      <w:r>
        <w:rPr>
          <w:rStyle w:val="39"/>
          <w:rFonts w:hint="eastAsia"/>
        </w:rPr>
        <w:t>项目概况</w:t>
      </w:r>
      <w:r>
        <w:tab/>
      </w:r>
      <w:r>
        <w:fldChar w:fldCharType="end"/>
      </w:r>
      <w:r>
        <w:rPr>
          <w:rFonts w:hint="eastAsia"/>
          <w:lang w:val="en-US" w:eastAsia="zh-CN"/>
        </w:rPr>
        <w:t>19</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"_Toc437271238" </w:instrText>
      </w:r>
      <w:r>
        <w:fldChar w:fldCharType="separate"/>
      </w:r>
      <w:r>
        <w:rPr>
          <w:rStyle w:val="39"/>
        </w:rPr>
        <w:t>1.6</w:t>
      </w:r>
      <w:r>
        <w:rPr>
          <w:rFonts w:eastAsiaTheme="minorEastAsia" w:cstheme="minorBidi"/>
          <w:i w:val="0"/>
          <w:iCs w:val="0"/>
          <w:sz w:val="21"/>
          <w:szCs w:val="22"/>
        </w:rPr>
        <w:tab/>
      </w:r>
      <w:r>
        <w:rPr>
          <w:rStyle w:val="39"/>
          <w:rFonts w:hint="eastAsia"/>
        </w:rPr>
        <w:t>采购需求</w:t>
      </w:r>
      <w:r>
        <w:tab/>
      </w:r>
      <w:r>
        <w:fldChar w:fldCharType="end"/>
      </w:r>
      <w:r>
        <w:rPr>
          <w:rFonts w:hint="eastAsia"/>
          <w:lang w:val="en-US" w:eastAsia="zh-CN"/>
        </w:rPr>
        <w:t>19</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"_Toc437271239" </w:instrText>
      </w:r>
      <w:r>
        <w:fldChar w:fldCharType="separate"/>
      </w:r>
      <w:r>
        <w:rPr>
          <w:rStyle w:val="39"/>
        </w:rPr>
        <w:t>1.7</w:t>
      </w:r>
      <w:r>
        <w:rPr>
          <w:rFonts w:eastAsiaTheme="minorEastAsia" w:cstheme="minorBidi"/>
          <w:i w:val="0"/>
          <w:iCs w:val="0"/>
          <w:sz w:val="21"/>
          <w:szCs w:val="22"/>
        </w:rPr>
        <w:tab/>
      </w:r>
      <w:r>
        <w:rPr>
          <w:rStyle w:val="39"/>
          <w:rFonts w:hint="eastAsia"/>
        </w:rPr>
        <w:t>费用承担</w:t>
      </w:r>
      <w:r>
        <w:tab/>
      </w:r>
      <w:r>
        <w:fldChar w:fldCharType="end"/>
      </w:r>
      <w:r>
        <w:rPr>
          <w:rFonts w:hint="eastAsia"/>
          <w:lang w:val="en-US" w:eastAsia="zh-CN"/>
        </w:rPr>
        <w:t>19</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"_Toc437271240" </w:instrText>
      </w:r>
      <w:r>
        <w:fldChar w:fldCharType="separate"/>
      </w:r>
      <w:r>
        <w:rPr>
          <w:rStyle w:val="39"/>
        </w:rPr>
        <w:t>1.8</w:t>
      </w:r>
      <w:r>
        <w:rPr>
          <w:rFonts w:eastAsiaTheme="minorEastAsia" w:cstheme="minorBidi"/>
          <w:i w:val="0"/>
          <w:iCs w:val="0"/>
          <w:sz w:val="21"/>
          <w:szCs w:val="22"/>
        </w:rPr>
        <w:tab/>
      </w:r>
      <w:r>
        <w:rPr>
          <w:rStyle w:val="39"/>
          <w:rFonts w:hint="eastAsia"/>
        </w:rPr>
        <w:t>保密</w:t>
      </w:r>
      <w:r>
        <w:tab/>
      </w:r>
      <w:r>
        <w:fldChar w:fldCharType="end"/>
      </w:r>
      <w:r>
        <w:rPr>
          <w:rFonts w:hint="eastAsia"/>
          <w:lang w:val="en-US" w:eastAsia="zh-CN"/>
        </w:rPr>
        <w:t>20</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"_Toc437271241" </w:instrText>
      </w:r>
      <w:r>
        <w:fldChar w:fldCharType="separate"/>
      </w:r>
      <w:r>
        <w:rPr>
          <w:rStyle w:val="39"/>
        </w:rPr>
        <w:t>1.9</w:t>
      </w:r>
      <w:r>
        <w:rPr>
          <w:rFonts w:eastAsiaTheme="minorEastAsia" w:cstheme="minorBidi"/>
          <w:i w:val="0"/>
          <w:iCs w:val="0"/>
          <w:sz w:val="21"/>
          <w:szCs w:val="22"/>
        </w:rPr>
        <w:tab/>
      </w:r>
      <w:r>
        <w:rPr>
          <w:rStyle w:val="39"/>
          <w:rFonts w:hint="eastAsia"/>
        </w:rPr>
        <w:t>现场考察会及答疑会</w:t>
      </w:r>
      <w:r>
        <w:tab/>
      </w:r>
      <w:r>
        <w:fldChar w:fldCharType="end"/>
      </w:r>
      <w:r>
        <w:rPr>
          <w:rFonts w:hint="eastAsia"/>
          <w:lang w:val="en-US" w:eastAsia="zh-CN"/>
        </w:rPr>
        <w:t>20</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"_Toc437271242" </w:instrText>
      </w:r>
      <w:r>
        <w:fldChar w:fldCharType="separate"/>
      </w:r>
      <w:r>
        <w:rPr>
          <w:rStyle w:val="39"/>
        </w:rPr>
        <w:t>2</w:t>
      </w:r>
      <w:r>
        <w:rPr>
          <w:rFonts w:eastAsiaTheme="minorEastAsia" w:cstheme="minorBidi"/>
          <w:smallCaps w:val="0"/>
          <w:sz w:val="21"/>
          <w:szCs w:val="22"/>
        </w:rPr>
        <w:tab/>
      </w:r>
      <w:r>
        <w:rPr>
          <w:rStyle w:val="39"/>
          <w:rFonts w:hint="eastAsia"/>
        </w:rPr>
        <w:t>采购文件</w:t>
      </w:r>
      <w:r>
        <w:tab/>
      </w:r>
      <w:r>
        <w:fldChar w:fldCharType="end"/>
      </w:r>
      <w:r>
        <w:rPr>
          <w:rFonts w:hint="eastAsia"/>
          <w:lang w:val="en-US" w:eastAsia="zh-CN"/>
        </w:rPr>
        <w:t>21</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"_Toc437271243" </w:instrText>
      </w:r>
      <w:r>
        <w:fldChar w:fldCharType="separate"/>
      </w:r>
      <w:r>
        <w:rPr>
          <w:rStyle w:val="39"/>
        </w:rPr>
        <w:t>2.1</w:t>
      </w:r>
      <w:r>
        <w:rPr>
          <w:rFonts w:eastAsiaTheme="minorEastAsia" w:cstheme="minorBidi"/>
          <w:i w:val="0"/>
          <w:iCs w:val="0"/>
          <w:sz w:val="21"/>
          <w:szCs w:val="22"/>
        </w:rPr>
        <w:tab/>
      </w:r>
      <w:r>
        <w:rPr>
          <w:rStyle w:val="39"/>
          <w:rFonts w:hint="eastAsia"/>
        </w:rPr>
        <w:t>采购文件的编制依据及组成</w:t>
      </w:r>
      <w:r>
        <w:tab/>
      </w:r>
      <w:r>
        <w:fldChar w:fldCharType="end"/>
      </w:r>
      <w:r>
        <w:rPr>
          <w:rFonts w:hint="eastAsia"/>
          <w:lang w:val="en-US" w:eastAsia="zh-CN"/>
        </w:rPr>
        <w:t>21</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"_Toc437271244" </w:instrText>
      </w:r>
      <w:r>
        <w:fldChar w:fldCharType="separate"/>
      </w:r>
      <w:r>
        <w:rPr>
          <w:rStyle w:val="39"/>
        </w:rPr>
        <w:t>2.2</w:t>
      </w:r>
      <w:r>
        <w:rPr>
          <w:rFonts w:eastAsiaTheme="minorEastAsia" w:cstheme="minorBidi"/>
          <w:i w:val="0"/>
          <w:iCs w:val="0"/>
          <w:sz w:val="21"/>
          <w:szCs w:val="22"/>
        </w:rPr>
        <w:tab/>
      </w:r>
      <w:r>
        <w:rPr>
          <w:rStyle w:val="39"/>
          <w:rFonts w:hint="eastAsia"/>
        </w:rPr>
        <w:t>采购文件的澄清和修改</w:t>
      </w:r>
      <w:r>
        <w:tab/>
      </w:r>
      <w:r>
        <w:fldChar w:fldCharType="end"/>
      </w:r>
      <w:r>
        <w:rPr>
          <w:rFonts w:hint="eastAsia"/>
          <w:lang w:val="en-US" w:eastAsia="zh-CN"/>
        </w:rPr>
        <w:t>22</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"_Toc437271245" </w:instrText>
      </w:r>
      <w:r>
        <w:fldChar w:fldCharType="separate"/>
      </w:r>
      <w:r>
        <w:rPr>
          <w:rStyle w:val="39"/>
        </w:rPr>
        <w:t>3</w:t>
      </w:r>
      <w:r>
        <w:rPr>
          <w:rFonts w:eastAsiaTheme="minorEastAsia" w:cstheme="minorBidi"/>
          <w:smallCaps w:val="0"/>
          <w:sz w:val="21"/>
          <w:szCs w:val="22"/>
        </w:rPr>
        <w:tab/>
      </w:r>
      <w:r>
        <w:rPr>
          <w:rStyle w:val="39"/>
          <w:rFonts w:hint="eastAsia"/>
        </w:rPr>
        <w:t>投标文件</w:t>
      </w:r>
      <w:r>
        <w:tab/>
      </w:r>
      <w:r>
        <w:fldChar w:fldCharType="end"/>
      </w:r>
      <w:r>
        <w:rPr>
          <w:rFonts w:hint="eastAsia"/>
          <w:lang w:val="en-US" w:eastAsia="zh-CN"/>
        </w:rPr>
        <w:t>22</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"_Toc437271246" </w:instrText>
      </w:r>
      <w:r>
        <w:fldChar w:fldCharType="separate"/>
      </w:r>
      <w:r>
        <w:rPr>
          <w:rStyle w:val="39"/>
        </w:rPr>
        <w:t>3.1</w:t>
      </w:r>
      <w:r>
        <w:rPr>
          <w:rFonts w:eastAsiaTheme="minorEastAsia" w:cstheme="minorBidi"/>
          <w:i w:val="0"/>
          <w:iCs w:val="0"/>
          <w:sz w:val="21"/>
          <w:szCs w:val="22"/>
        </w:rPr>
        <w:tab/>
      </w:r>
      <w:r>
        <w:rPr>
          <w:rStyle w:val="39"/>
          <w:rFonts w:hint="eastAsia"/>
        </w:rPr>
        <w:t>投标的语言与计量</w:t>
      </w:r>
      <w:r>
        <w:tab/>
      </w:r>
      <w:r>
        <w:fldChar w:fldCharType="end"/>
      </w:r>
      <w:r>
        <w:rPr>
          <w:rFonts w:hint="eastAsia"/>
          <w:lang w:val="en-US" w:eastAsia="zh-CN"/>
        </w:rPr>
        <w:t>22</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"_Toc437271247" </w:instrText>
      </w:r>
      <w:r>
        <w:fldChar w:fldCharType="separate"/>
      </w:r>
      <w:r>
        <w:rPr>
          <w:rStyle w:val="39"/>
        </w:rPr>
        <w:t>3.2</w:t>
      </w:r>
      <w:r>
        <w:rPr>
          <w:rFonts w:eastAsiaTheme="minorEastAsia" w:cstheme="minorBidi"/>
          <w:i w:val="0"/>
          <w:iCs w:val="0"/>
          <w:sz w:val="21"/>
          <w:szCs w:val="22"/>
        </w:rPr>
        <w:tab/>
      </w:r>
      <w:r>
        <w:rPr>
          <w:rStyle w:val="39"/>
          <w:rFonts w:hint="eastAsia"/>
        </w:rPr>
        <w:t>投标文件的组成</w:t>
      </w:r>
      <w:r>
        <w:tab/>
      </w:r>
      <w:r>
        <w:fldChar w:fldCharType="end"/>
      </w:r>
      <w:r>
        <w:rPr>
          <w:rFonts w:hint="eastAsia"/>
          <w:lang w:val="en-US" w:eastAsia="zh-CN"/>
        </w:rPr>
        <w:t>22</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"_Toc437271248" </w:instrText>
      </w:r>
      <w:r>
        <w:fldChar w:fldCharType="separate"/>
      </w:r>
      <w:r>
        <w:rPr>
          <w:rStyle w:val="39"/>
        </w:rPr>
        <w:t>3.3</w:t>
      </w:r>
      <w:r>
        <w:rPr>
          <w:rFonts w:eastAsiaTheme="minorEastAsia" w:cstheme="minorBidi"/>
          <w:i w:val="0"/>
          <w:iCs w:val="0"/>
          <w:sz w:val="21"/>
          <w:szCs w:val="22"/>
        </w:rPr>
        <w:tab/>
      </w:r>
      <w:r>
        <w:rPr>
          <w:rStyle w:val="39"/>
          <w:rFonts w:hint="eastAsia"/>
        </w:rPr>
        <w:t>投标价格</w:t>
      </w:r>
      <w:r>
        <w:tab/>
      </w:r>
      <w:r>
        <w:fldChar w:fldCharType="end"/>
      </w:r>
      <w:r>
        <w:rPr>
          <w:rFonts w:hint="eastAsia"/>
          <w:lang w:val="en-US" w:eastAsia="zh-CN"/>
        </w:rPr>
        <w:t>23</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"_Toc437271249" </w:instrText>
      </w:r>
      <w:r>
        <w:fldChar w:fldCharType="separate"/>
      </w:r>
      <w:r>
        <w:rPr>
          <w:rStyle w:val="39"/>
        </w:rPr>
        <w:t>3.4</w:t>
      </w:r>
      <w:r>
        <w:rPr>
          <w:rFonts w:eastAsiaTheme="minorEastAsia" w:cstheme="minorBidi"/>
          <w:i w:val="0"/>
          <w:iCs w:val="0"/>
          <w:sz w:val="21"/>
          <w:szCs w:val="22"/>
        </w:rPr>
        <w:tab/>
      </w:r>
      <w:r>
        <w:fldChar w:fldCharType="end"/>
      </w:r>
      <w:r>
        <w:fldChar w:fldCharType="begin"/>
      </w:r>
      <w:r>
        <w:instrText xml:space="preserve"> HYPERLINK \l "_Toc437271251" </w:instrText>
      </w:r>
      <w:r>
        <w:fldChar w:fldCharType="separate"/>
      </w:r>
      <w:r>
        <w:rPr>
          <w:rStyle w:val="39"/>
          <w:rFonts w:hint="eastAsia"/>
        </w:rPr>
        <w:t>投标文件有效期</w:t>
      </w:r>
      <w:r>
        <w:tab/>
      </w:r>
      <w:r>
        <w:fldChar w:fldCharType="end"/>
      </w:r>
      <w:r>
        <w:rPr>
          <w:rFonts w:hint="eastAsia"/>
          <w:lang w:val="en-US" w:eastAsia="zh-CN"/>
        </w:rPr>
        <w:t>24</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"_Toc437271252" </w:instrText>
      </w:r>
      <w:r>
        <w:fldChar w:fldCharType="separate"/>
      </w:r>
      <w:r>
        <w:rPr>
          <w:rStyle w:val="39"/>
        </w:rPr>
        <w:t>3.</w:t>
      </w:r>
      <w:r>
        <w:rPr>
          <w:rStyle w:val="39"/>
          <w:rFonts w:hint="eastAsia"/>
          <w:lang w:val="en-US" w:eastAsia="zh-CN"/>
        </w:rPr>
        <w:t>5</w:t>
      </w:r>
      <w:r>
        <w:rPr>
          <w:rFonts w:eastAsiaTheme="minorEastAsia" w:cstheme="minorBidi"/>
          <w:i w:val="0"/>
          <w:iCs w:val="0"/>
          <w:sz w:val="21"/>
          <w:szCs w:val="22"/>
        </w:rPr>
        <w:tab/>
      </w:r>
      <w:r>
        <w:rPr>
          <w:rStyle w:val="39"/>
          <w:rFonts w:hint="eastAsia"/>
        </w:rPr>
        <w:t>投标保证金</w:t>
      </w:r>
      <w:r>
        <w:tab/>
      </w:r>
      <w:r>
        <w:fldChar w:fldCharType="end"/>
      </w:r>
      <w:r>
        <w:rPr>
          <w:rFonts w:hint="eastAsia"/>
          <w:lang w:val="en-US" w:eastAsia="zh-CN"/>
        </w:rPr>
        <w:t>24</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"_Toc437271253" </w:instrText>
      </w:r>
      <w:r>
        <w:fldChar w:fldCharType="separate"/>
      </w:r>
      <w:r>
        <w:rPr>
          <w:rStyle w:val="39"/>
        </w:rPr>
        <w:t>3.</w:t>
      </w:r>
      <w:r>
        <w:rPr>
          <w:rStyle w:val="39"/>
          <w:rFonts w:hint="eastAsia"/>
          <w:lang w:val="en-US" w:eastAsia="zh-CN"/>
        </w:rPr>
        <w:t>6</w:t>
      </w:r>
      <w:r>
        <w:rPr>
          <w:rFonts w:eastAsiaTheme="minorEastAsia" w:cstheme="minorBidi"/>
          <w:i w:val="0"/>
          <w:iCs w:val="0"/>
          <w:sz w:val="21"/>
          <w:szCs w:val="22"/>
        </w:rPr>
        <w:tab/>
      </w:r>
      <w:r>
        <w:rPr>
          <w:rStyle w:val="39"/>
          <w:rFonts w:hint="eastAsia"/>
        </w:rPr>
        <w:t>投标文件的编制</w:t>
      </w:r>
      <w:r>
        <w:tab/>
      </w:r>
      <w:r>
        <w:fldChar w:fldCharType="end"/>
      </w:r>
      <w:r>
        <w:rPr>
          <w:rFonts w:hint="eastAsia"/>
          <w:lang w:val="en-US" w:eastAsia="zh-CN"/>
        </w:rPr>
        <w:t>25</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"_Toc437271254" </w:instrText>
      </w:r>
      <w:r>
        <w:fldChar w:fldCharType="separate"/>
      </w:r>
      <w:r>
        <w:rPr>
          <w:rStyle w:val="39"/>
        </w:rPr>
        <w:t>4</w:t>
      </w:r>
      <w:r>
        <w:rPr>
          <w:rFonts w:eastAsiaTheme="minorEastAsia" w:cstheme="minorBidi"/>
          <w:smallCaps w:val="0"/>
          <w:sz w:val="21"/>
          <w:szCs w:val="22"/>
        </w:rPr>
        <w:tab/>
      </w:r>
      <w:r>
        <w:rPr>
          <w:rStyle w:val="39"/>
          <w:rFonts w:hint="eastAsia"/>
        </w:rPr>
        <w:t>投标文件的递交</w:t>
      </w:r>
      <w:r>
        <w:tab/>
      </w:r>
      <w:r>
        <w:fldChar w:fldCharType="end"/>
      </w:r>
      <w:r>
        <w:rPr>
          <w:rFonts w:hint="eastAsia"/>
          <w:lang w:val="en-US" w:eastAsia="zh-CN"/>
        </w:rPr>
        <w:t>25</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"_Toc437271255" </w:instrText>
      </w:r>
      <w:r>
        <w:fldChar w:fldCharType="separate"/>
      </w:r>
      <w:r>
        <w:rPr>
          <w:rStyle w:val="39"/>
        </w:rPr>
        <w:t>4.1</w:t>
      </w:r>
      <w:r>
        <w:rPr>
          <w:rFonts w:eastAsiaTheme="minorEastAsia" w:cstheme="minorBidi"/>
          <w:i w:val="0"/>
          <w:iCs w:val="0"/>
          <w:sz w:val="21"/>
          <w:szCs w:val="22"/>
        </w:rPr>
        <w:tab/>
      </w:r>
      <w:r>
        <w:rPr>
          <w:rStyle w:val="39"/>
          <w:rFonts w:hint="eastAsia"/>
        </w:rPr>
        <w:t>投标文件的密封和标记</w:t>
      </w:r>
      <w:r>
        <w:tab/>
      </w:r>
      <w:r>
        <w:fldChar w:fldCharType="end"/>
      </w:r>
      <w:r>
        <w:rPr>
          <w:rFonts w:hint="eastAsia"/>
          <w:lang w:val="en-US" w:eastAsia="zh-CN"/>
        </w:rPr>
        <w:t>25</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"_Toc437271256" </w:instrText>
      </w:r>
      <w:r>
        <w:fldChar w:fldCharType="separate"/>
      </w:r>
      <w:r>
        <w:rPr>
          <w:rStyle w:val="39"/>
        </w:rPr>
        <w:t>4.2</w:t>
      </w:r>
      <w:r>
        <w:rPr>
          <w:rFonts w:eastAsiaTheme="minorEastAsia" w:cstheme="minorBidi"/>
          <w:i w:val="0"/>
          <w:iCs w:val="0"/>
          <w:sz w:val="21"/>
          <w:szCs w:val="22"/>
        </w:rPr>
        <w:tab/>
      </w:r>
      <w:r>
        <w:rPr>
          <w:rStyle w:val="39"/>
          <w:rFonts w:hint="eastAsia"/>
        </w:rPr>
        <w:t>投标文件的提交</w:t>
      </w:r>
      <w:r>
        <w:tab/>
      </w:r>
      <w:r>
        <w:fldChar w:fldCharType="end"/>
      </w:r>
      <w:r>
        <w:rPr>
          <w:rFonts w:hint="eastAsia"/>
          <w:lang w:val="en-US" w:eastAsia="zh-CN"/>
        </w:rPr>
        <w:t>26</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"_Toc437271257" </w:instrText>
      </w:r>
      <w:r>
        <w:fldChar w:fldCharType="separate"/>
      </w:r>
      <w:r>
        <w:rPr>
          <w:rStyle w:val="39"/>
        </w:rPr>
        <w:t>4.3</w:t>
      </w:r>
      <w:r>
        <w:rPr>
          <w:rFonts w:eastAsiaTheme="minorEastAsia" w:cstheme="minorBidi"/>
          <w:i w:val="0"/>
          <w:iCs w:val="0"/>
          <w:sz w:val="21"/>
          <w:szCs w:val="22"/>
        </w:rPr>
        <w:tab/>
      </w:r>
      <w:r>
        <w:rPr>
          <w:rStyle w:val="39"/>
          <w:rFonts w:hint="eastAsia"/>
        </w:rPr>
        <w:t>投标文件的修改与撤回</w:t>
      </w:r>
      <w:r>
        <w:tab/>
      </w:r>
      <w:r>
        <w:fldChar w:fldCharType="end"/>
      </w:r>
      <w:r>
        <w:rPr>
          <w:rFonts w:hint="eastAsia"/>
          <w:lang w:val="en-US" w:eastAsia="zh-CN"/>
        </w:rPr>
        <w:t>26</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"_Toc437271258" </w:instrText>
      </w:r>
      <w:r>
        <w:fldChar w:fldCharType="separate"/>
      </w:r>
      <w:r>
        <w:rPr>
          <w:rStyle w:val="39"/>
        </w:rPr>
        <w:t>5</w:t>
      </w:r>
      <w:r>
        <w:rPr>
          <w:rFonts w:eastAsiaTheme="minorEastAsia" w:cstheme="minorBidi"/>
          <w:smallCaps w:val="0"/>
          <w:sz w:val="21"/>
          <w:szCs w:val="22"/>
        </w:rPr>
        <w:tab/>
      </w:r>
      <w:r>
        <w:rPr>
          <w:rStyle w:val="39"/>
          <w:rFonts w:hint="eastAsia"/>
        </w:rPr>
        <w:t>开标</w:t>
      </w:r>
      <w:r>
        <w:tab/>
      </w:r>
      <w:r>
        <w:fldChar w:fldCharType="end"/>
      </w:r>
      <w:r>
        <w:rPr>
          <w:rFonts w:hint="eastAsia"/>
          <w:lang w:val="en-US" w:eastAsia="zh-CN"/>
        </w:rPr>
        <w:t>26</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"_Toc437271259" </w:instrText>
      </w:r>
      <w:r>
        <w:fldChar w:fldCharType="separate"/>
      </w:r>
      <w:r>
        <w:rPr>
          <w:rStyle w:val="39"/>
        </w:rPr>
        <w:t>5.1</w:t>
      </w:r>
      <w:r>
        <w:rPr>
          <w:rFonts w:eastAsiaTheme="minorEastAsia" w:cstheme="minorBidi"/>
          <w:i w:val="0"/>
          <w:iCs w:val="0"/>
          <w:sz w:val="21"/>
          <w:szCs w:val="22"/>
        </w:rPr>
        <w:tab/>
      </w:r>
      <w:r>
        <w:rPr>
          <w:rStyle w:val="39"/>
          <w:rFonts w:hint="eastAsia"/>
        </w:rPr>
        <w:t>开标的时间和地点</w:t>
      </w:r>
      <w:r>
        <w:tab/>
      </w:r>
      <w:r>
        <w:fldChar w:fldCharType="end"/>
      </w:r>
      <w:r>
        <w:rPr>
          <w:rFonts w:hint="eastAsia"/>
          <w:lang w:val="en-US" w:eastAsia="zh-CN"/>
        </w:rPr>
        <w:t>26</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"_Toc437271260" </w:instrText>
      </w:r>
      <w:r>
        <w:fldChar w:fldCharType="separate"/>
      </w:r>
      <w:r>
        <w:rPr>
          <w:rStyle w:val="39"/>
        </w:rPr>
        <w:t>5.2</w:t>
      </w:r>
      <w:r>
        <w:rPr>
          <w:rFonts w:eastAsiaTheme="minorEastAsia" w:cstheme="minorBidi"/>
          <w:i w:val="0"/>
          <w:iCs w:val="0"/>
          <w:sz w:val="21"/>
          <w:szCs w:val="22"/>
        </w:rPr>
        <w:tab/>
      </w:r>
      <w:r>
        <w:rPr>
          <w:rStyle w:val="39"/>
          <w:rFonts w:hint="eastAsia"/>
        </w:rPr>
        <w:t>开标</w:t>
      </w:r>
      <w:r>
        <w:tab/>
      </w:r>
      <w:r>
        <w:fldChar w:fldCharType="end"/>
      </w:r>
      <w:r>
        <w:rPr>
          <w:rFonts w:hint="eastAsia"/>
          <w:lang w:val="en-US" w:eastAsia="zh-CN"/>
        </w:rPr>
        <w:t>27</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"_Toc437271261" </w:instrText>
      </w:r>
      <w:r>
        <w:fldChar w:fldCharType="separate"/>
      </w:r>
      <w:r>
        <w:rPr>
          <w:rStyle w:val="39"/>
        </w:rPr>
        <w:t>6</w:t>
      </w:r>
      <w:r>
        <w:rPr>
          <w:rFonts w:eastAsiaTheme="minorEastAsia" w:cstheme="minorBidi"/>
          <w:smallCaps w:val="0"/>
          <w:sz w:val="21"/>
          <w:szCs w:val="22"/>
        </w:rPr>
        <w:tab/>
      </w:r>
      <w:r>
        <w:rPr>
          <w:rStyle w:val="39"/>
          <w:rFonts w:hint="eastAsia"/>
        </w:rPr>
        <w:t>评审</w:t>
      </w:r>
      <w:r>
        <w:tab/>
      </w:r>
      <w:r>
        <w:fldChar w:fldCharType="end"/>
      </w:r>
      <w:r>
        <w:rPr>
          <w:rFonts w:hint="eastAsia"/>
          <w:lang w:val="en-US" w:eastAsia="zh-CN"/>
        </w:rPr>
        <w:t>27</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"_Toc437271262" </w:instrText>
      </w:r>
      <w:r>
        <w:fldChar w:fldCharType="separate"/>
      </w:r>
      <w:r>
        <w:rPr>
          <w:rStyle w:val="39"/>
        </w:rPr>
        <w:t>6.1</w:t>
      </w:r>
      <w:r>
        <w:rPr>
          <w:rFonts w:eastAsiaTheme="minorEastAsia" w:cstheme="minorBidi"/>
          <w:i w:val="0"/>
          <w:iCs w:val="0"/>
          <w:sz w:val="21"/>
          <w:szCs w:val="22"/>
        </w:rPr>
        <w:tab/>
      </w:r>
      <w:r>
        <w:rPr>
          <w:rStyle w:val="39"/>
          <w:rFonts w:hint="eastAsia"/>
        </w:rPr>
        <w:t>评审小组</w:t>
      </w:r>
      <w:r>
        <w:tab/>
      </w:r>
      <w:r>
        <w:fldChar w:fldCharType="end"/>
      </w:r>
      <w:r>
        <w:rPr>
          <w:rFonts w:hint="eastAsia"/>
          <w:lang w:val="en-US" w:eastAsia="zh-CN"/>
        </w:rPr>
        <w:t>27</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"_Toc437271263" </w:instrText>
      </w:r>
      <w:r>
        <w:fldChar w:fldCharType="separate"/>
      </w:r>
      <w:r>
        <w:rPr>
          <w:rStyle w:val="39"/>
        </w:rPr>
        <w:t>6.2</w:t>
      </w:r>
      <w:r>
        <w:rPr>
          <w:rFonts w:eastAsiaTheme="minorEastAsia" w:cstheme="minorBidi"/>
          <w:i w:val="0"/>
          <w:iCs w:val="0"/>
          <w:sz w:val="21"/>
          <w:szCs w:val="22"/>
        </w:rPr>
        <w:tab/>
      </w:r>
      <w:r>
        <w:rPr>
          <w:rStyle w:val="39"/>
          <w:rFonts w:hint="eastAsia"/>
        </w:rPr>
        <w:t>评审原则</w:t>
      </w:r>
      <w:r>
        <w:tab/>
      </w:r>
      <w:r>
        <w:fldChar w:fldCharType="end"/>
      </w:r>
      <w:r>
        <w:rPr>
          <w:rFonts w:hint="eastAsia"/>
          <w:lang w:val="en-US" w:eastAsia="zh-CN"/>
        </w:rPr>
        <w:t>27</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"_Toc437271264" </w:instrText>
      </w:r>
      <w:r>
        <w:fldChar w:fldCharType="separate"/>
      </w:r>
      <w:r>
        <w:rPr>
          <w:rStyle w:val="39"/>
        </w:rPr>
        <w:t>6.3</w:t>
      </w:r>
      <w:r>
        <w:rPr>
          <w:rFonts w:eastAsiaTheme="minorEastAsia" w:cstheme="minorBidi"/>
          <w:i w:val="0"/>
          <w:iCs w:val="0"/>
          <w:sz w:val="21"/>
          <w:szCs w:val="22"/>
        </w:rPr>
        <w:tab/>
      </w:r>
      <w:r>
        <w:rPr>
          <w:rStyle w:val="39"/>
          <w:rFonts w:hint="eastAsia"/>
        </w:rPr>
        <w:t>评审</w:t>
      </w:r>
      <w:r>
        <w:tab/>
      </w:r>
      <w:r>
        <w:fldChar w:fldCharType="end"/>
      </w:r>
      <w:r>
        <w:rPr>
          <w:rFonts w:hint="eastAsia"/>
          <w:lang w:val="en-US" w:eastAsia="zh-CN"/>
        </w:rPr>
        <w:t>27</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"_Toc437271265" </w:instrText>
      </w:r>
      <w:r>
        <w:fldChar w:fldCharType="separate"/>
      </w:r>
      <w:r>
        <w:rPr>
          <w:rStyle w:val="39"/>
        </w:rPr>
        <w:t>7</w:t>
      </w:r>
      <w:r>
        <w:rPr>
          <w:rFonts w:eastAsiaTheme="minorEastAsia" w:cstheme="minorBidi"/>
          <w:smallCaps w:val="0"/>
          <w:sz w:val="21"/>
          <w:szCs w:val="22"/>
        </w:rPr>
        <w:tab/>
      </w:r>
      <w:r>
        <w:rPr>
          <w:rStyle w:val="39"/>
          <w:rFonts w:hint="eastAsia"/>
        </w:rPr>
        <w:t>合同授予</w:t>
      </w:r>
      <w:r>
        <w:tab/>
      </w:r>
      <w:r>
        <w:fldChar w:fldCharType="end"/>
      </w:r>
      <w:r>
        <w:rPr>
          <w:rFonts w:hint="eastAsia"/>
          <w:lang w:val="en-US" w:eastAsia="zh-CN"/>
        </w:rPr>
        <w:t>28</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"_Toc437271266" </w:instrText>
      </w:r>
      <w:r>
        <w:fldChar w:fldCharType="separate"/>
      </w:r>
      <w:r>
        <w:rPr>
          <w:rStyle w:val="39"/>
        </w:rPr>
        <w:t>7.1</w:t>
      </w:r>
      <w:r>
        <w:rPr>
          <w:rFonts w:eastAsiaTheme="minorEastAsia" w:cstheme="minorBidi"/>
          <w:i w:val="0"/>
          <w:iCs w:val="0"/>
          <w:sz w:val="21"/>
          <w:szCs w:val="22"/>
        </w:rPr>
        <w:tab/>
      </w:r>
      <w:r>
        <w:rPr>
          <w:rStyle w:val="39"/>
          <w:rFonts w:hint="eastAsia"/>
        </w:rPr>
        <w:t>定标方式</w:t>
      </w:r>
      <w:r>
        <w:tab/>
      </w:r>
      <w:r>
        <w:fldChar w:fldCharType="end"/>
      </w:r>
      <w:r>
        <w:rPr>
          <w:rFonts w:hint="eastAsia"/>
          <w:lang w:val="en-US" w:eastAsia="zh-CN"/>
        </w:rPr>
        <w:t>28</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"_Toc437271267" </w:instrText>
      </w:r>
      <w:r>
        <w:fldChar w:fldCharType="separate"/>
      </w:r>
      <w:r>
        <w:rPr>
          <w:rStyle w:val="39"/>
        </w:rPr>
        <w:t>7.2</w:t>
      </w:r>
      <w:r>
        <w:rPr>
          <w:rFonts w:eastAsiaTheme="minorEastAsia" w:cstheme="minorBidi"/>
          <w:i w:val="0"/>
          <w:iCs w:val="0"/>
          <w:sz w:val="21"/>
          <w:szCs w:val="22"/>
        </w:rPr>
        <w:tab/>
      </w:r>
      <w:r>
        <w:rPr>
          <w:rStyle w:val="39"/>
          <w:rFonts w:hint="eastAsia"/>
        </w:rPr>
        <w:t>中标通知</w:t>
      </w:r>
      <w:r>
        <w:tab/>
      </w:r>
      <w:r>
        <w:fldChar w:fldCharType="end"/>
      </w:r>
      <w:r>
        <w:rPr>
          <w:rFonts w:hint="eastAsia"/>
          <w:lang w:val="en-US" w:eastAsia="zh-CN"/>
        </w:rPr>
        <w:t>29</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"_Toc437271268" </w:instrText>
      </w:r>
      <w:r>
        <w:fldChar w:fldCharType="separate"/>
      </w:r>
      <w:r>
        <w:rPr>
          <w:rStyle w:val="39"/>
        </w:rPr>
        <w:t>7.3</w:t>
      </w:r>
      <w:r>
        <w:rPr>
          <w:rFonts w:eastAsiaTheme="minorEastAsia" w:cstheme="minorBidi"/>
          <w:i w:val="0"/>
          <w:iCs w:val="0"/>
          <w:sz w:val="21"/>
          <w:szCs w:val="22"/>
        </w:rPr>
        <w:tab/>
      </w:r>
      <w:r>
        <w:rPr>
          <w:rStyle w:val="39"/>
          <w:rFonts w:hint="eastAsia"/>
        </w:rPr>
        <w:t>履约担保</w:t>
      </w:r>
      <w:r>
        <w:tab/>
      </w:r>
      <w:r>
        <w:fldChar w:fldCharType="end"/>
      </w:r>
      <w:r>
        <w:rPr>
          <w:rFonts w:hint="eastAsia"/>
          <w:lang w:val="en-US" w:eastAsia="zh-CN"/>
        </w:rPr>
        <w:t>29</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"_Toc437271269" </w:instrText>
      </w:r>
      <w:r>
        <w:fldChar w:fldCharType="separate"/>
      </w:r>
      <w:r>
        <w:rPr>
          <w:rStyle w:val="39"/>
        </w:rPr>
        <w:t>7.4</w:t>
      </w:r>
      <w:r>
        <w:rPr>
          <w:rFonts w:eastAsiaTheme="minorEastAsia" w:cstheme="minorBidi"/>
          <w:i w:val="0"/>
          <w:iCs w:val="0"/>
          <w:sz w:val="21"/>
          <w:szCs w:val="22"/>
        </w:rPr>
        <w:tab/>
      </w:r>
      <w:r>
        <w:rPr>
          <w:rStyle w:val="39"/>
          <w:rFonts w:hint="eastAsia"/>
        </w:rPr>
        <w:t>签订合同</w:t>
      </w:r>
      <w:r>
        <w:tab/>
      </w:r>
      <w:r>
        <w:fldChar w:fldCharType="end"/>
      </w:r>
      <w:r>
        <w:rPr>
          <w:rFonts w:hint="eastAsia"/>
          <w:lang w:val="en-US" w:eastAsia="zh-CN"/>
        </w:rPr>
        <w:t>29</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"_Toc437271270" </w:instrText>
      </w:r>
      <w:r>
        <w:fldChar w:fldCharType="separate"/>
      </w:r>
      <w:r>
        <w:rPr>
          <w:rStyle w:val="39"/>
        </w:rPr>
        <w:t>8</w:t>
      </w:r>
      <w:r>
        <w:rPr>
          <w:rFonts w:eastAsiaTheme="minorEastAsia" w:cstheme="minorBidi"/>
          <w:smallCaps w:val="0"/>
          <w:sz w:val="21"/>
          <w:szCs w:val="22"/>
        </w:rPr>
        <w:tab/>
      </w:r>
      <w:r>
        <w:rPr>
          <w:rStyle w:val="39"/>
          <w:rFonts w:hint="eastAsia"/>
        </w:rPr>
        <w:t>重新招标</w:t>
      </w:r>
      <w:r>
        <w:tab/>
      </w:r>
      <w:r>
        <w:fldChar w:fldCharType="end"/>
      </w:r>
      <w:r>
        <w:rPr>
          <w:rFonts w:hint="eastAsia"/>
          <w:lang w:val="en-US" w:eastAsia="zh-CN"/>
        </w:rPr>
        <w:t>30</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"_Toc437271271" </w:instrText>
      </w:r>
      <w:r>
        <w:fldChar w:fldCharType="separate"/>
      </w:r>
      <w:r>
        <w:rPr>
          <w:rStyle w:val="39"/>
        </w:rPr>
        <w:t>9</w:t>
      </w:r>
      <w:r>
        <w:rPr>
          <w:rFonts w:eastAsiaTheme="minorEastAsia" w:cstheme="minorBidi"/>
          <w:smallCaps w:val="0"/>
          <w:sz w:val="21"/>
          <w:szCs w:val="22"/>
        </w:rPr>
        <w:tab/>
      </w:r>
      <w:r>
        <w:rPr>
          <w:rStyle w:val="39"/>
          <w:rFonts w:hint="eastAsia"/>
        </w:rPr>
        <w:t>纪律和监督</w:t>
      </w:r>
      <w:r>
        <w:tab/>
      </w:r>
      <w:r>
        <w:fldChar w:fldCharType="end"/>
      </w:r>
      <w:r>
        <w:rPr>
          <w:rFonts w:hint="eastAsia"/>
          <w:lang w:val="en-US" w:eastAsia="zh-CN"/>
        </w:rPr>
        <w:t>30</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"_Toc437271272" </w:instrText>
      </w:r>
      <w:r>
        <w:fldChar w:fldCharType="separate"/>
      </w:r>
      <w:r>
        <w:rPr>
          <w:rStyle w:val="39"/>
        </w:rPr>
        <w:t>9.1</w:t>
      </w:r>
      <w:r>
        <w:rPr>
          <w:rFonts w:eastAsiaTheme="minorEastAsia" w:cstheme="minorBidi"/>
          <w:i w:val="0"/>
          <w:iCs w:val="0"/>
          <w:sz w:val="21"/>
          <w:szCs w:val="22"/>
        </w:rPr>
        <w:tab/>
      </w:r>
      <w:r>
        <w:rPr>
          <w:rStyle w:val="39"/>
          <w:rFonts w:hint="eastAsia"/>
        </w:rPr>
        <w:t>纪律要求</w:t>
      </w:r>
      <w:r>
        <w:tab/>
      </w:r>
      <w:r>
        <w:fldChar w:fldCharType="end"/>
      </w:r>
      <w:r>
        <w:rPr>
          <w:rFonts w:hint="eastAsia"/>
          <w:lang w:val="en-US" w:eastAsia="zh-CN"/>
        </w:rPr>
        <w:t>30</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"_Toc437271273" </w:instrText>
      </w:r>
      <w:r>
        <w:fldChar w:fldCharType="separate"/>
      </w:r>
      <w:r>
        <w:rPr>
          <w:rStyle w:val="39"/>
        </w:rPr>
        <w:t>9.2</w:t>
      </w:r>
      <w:r>
        <w:rPr>
          <w:rFonts w:eastAsiaTheme="minorEastAsia" w:cstheme="minorBidi"/>
          <w:i w:val="0"/>
          <w:iCs w:val="0"/>
          <w:sz w:val="21"/>
          <w:szCs w:val="22"/>
        </w:rPr>
        <w:tab/>
      </w:r>
      <w:r>
        <w:rPr>
          <w:rStyle w:val="39"/>
          <w:rFonts w:hint="eastAsia"/>
        </w:rPr>
        <w:t>质疑、投诉处理</w:t>
      </w:r>
      <w:r>
        <w:tab/>
      </w:r>
      <w:r>
        <w:fldChar w:fldCharType="end"/>
      </w:r>
      <w:r>
        <w:rPr>
          <w:rFonts w:hint="eastAsia"/>
          <w:lang w:val="en-US" w:eastAsia="zh-CN"/>
        </w:rPr>
        <w:t>30</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"_Toc437271274" </w:instrText>
      </w:r>
      <w:r>
        <w:fldChar w:fldCharType="separate"/>
      </w:r>
      <w:r>
        <w:rPr>
          <w:rStyle w:val="39"/>
        </w:rPr>
        <w:t>10</w:t>
      </w:r>
      <w:r>
        <w:rPr>
          <w:rFonts w:eastAsiaTheme="minorEastAsia" w:cstheme="minorBidi"/>
          <w:smallCaps w:val="0"/>
          <w:sz w:val="21"/>
          <w:szCs w:val="22"/>
        </w:rPr>
        <w:tab/>
      </w:r>
      <w:r>
        <w:rPr>
          <w:rStyle w:val="39"/>
          <w:rFonts w:hint="eastAsia"/>
        </w:rPr>
        <w:t>政府采购政策</w:t>
      </w:r>
      <w:r>
        <w:tab/>
      </w:r>
      <w:r>
        <w:fldChar w:fldCharType="end"/>
      </w:r>
      <w:r>
        <w:rPr>
          <w:rFonts w:hint="eastAsia"/>
          <w:lang w:val="en-US" w:eastAsia="zh-CN"/>
        </w:rPr>
        <w:t>30</w:t>
      </w:r>
    </w:p>
    <w:p>
      <w:pPr>
        <w:pStyle w:val="28"/>
        <w:pageBreakBefore w:val="0"/>
        <w:kinsoku/>
        <w:bidi w:val="0"/>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"_Toc437271275" </w:instrText>
      </w:r>
      <w:r>
        <w:fldChar w:fldCharType="separate"/>
      </w:r>
      <w:r>
        <w:rPr>
          <w:rStyle w:val="39"/>
        </w:rPr>
        <w:t>11</w:t>
      </w:r>
      <w:r>
        <w:rPr>
          <w:rFonts w:eastAsiaTheme="minorEastAsia" w:cstheme="minorBidi"/>
          <w:smallCaps w:val="0"/>
          <w:sz w:val="21"/>
          <w:szCs w:val="22"/>
        </w:rPr>
        <w:tab/>
      </w:r>
      <w:r>
        <w:rPr>
          <w:rStyle w:val="39"/>
          <w:rFonts w:hint="eastAsia"/>
        </w:rPr>
        <w:t>需要补充的其他内容</w:t>
      </w:r>
      <w:r>
        <w:tab/>
      </w:r>
      <w:r>
        <w:fldChar w:fldCharType="end"/>
      </w:r>
      <w:r>
        <w:rPr>
          <w:rFonts w:hint="eastAsia"/>
          <w:lang w:val="en-US" w:eastAsia="zh-CN"/>
        </w:rPr>
        <w:t>31</w:t>
      </w:r>
    </w:p>
    <w:p>
      <w:pPr>
        <w:pStyle w:val="25"/>
        <w:pageBreakBefore w:val="0"/>
        <w:kinsoku/>
        <w:bidi w:val="0"/>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"_Toc437271277" </w:instrText>
      </w:r>
      <w:r>
        <w:fldChar w:fldCharType="separate"/>
      </w:r>
      <w:r>
        <w:rPr>
          <w:rStyle w:val="39"/>
          <w:rFonts w:hint="eastAsia"/>
        </w:rPr>
        <w:t>第</w:t>
      </w:r>
      <w:r>
        <w:rPr>
          <w:rStyle w:val="39"/>
          <w:rFonts w:hint="eastAsia"/>
          <w:lang w:val="en-US" w:eastAsia="zh-CN"/>
        </w:rPr>
        <w:t>三</w:t>
      </w:r>
      <w:r>
        <w:rPr>
          <w:rStyle w:val="39"/>
          <w:rFonts w:hint="eastAsia"/>
        </w:rPr>
        <w:t>章</w:t>
      </w:r>
      <w:r>
        <w:rPr>
          <w:rStyle w:val="39"/>
          <w:rFonts w:hint="eastAsia"/>
          <w:lang w:val="en-US" w:eastAsia="zh-CN"/>
        </w:rPr>
        <w:t xml:space="preserve">  </w:t>
      </w:r>
      <w:r>
        <w:rPr>
          <w:rStyle w:val="39"/>
          <w:rFonts w:hint="eastAsia"/>
        </w:rPr>
        <w:t>项目采购需求</w:t>
      </w:r>
      <w:r>
        <w:tab/>
      </w:r>
      <w:r>
        <w:fldChar w:fldCharType="end"/>
      </w:r>
      <w:r>
        <w:rPr>
          <w:rFonts w:hint="eastAsia"/>
          <w:lang w:val="en-US" w:eastAsia="zh-CN"/>
        </w:rPr>
        <w:t>32</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"_Toc437271278" </w:instrText>
      </w:r>
      <w:r>
        <w:fldChar w:fldCharType="separate"/>
      </w:r>
      <w:r>
        <w:rPr>
          <w:rStyle w:val="39"/>
          <w:rFonts w:hint="eastAsia"/>
        </w:rPr>
        <w:t>一、</w:t>
      </w:r>
      <w:r>
        <w:rPr>
          <w:rFonts w:eastAsiaTheme="minorEastAsia" w:cstheme="minorBidi"/>
          <w:smallCaps w:val="0"/>
          <w:sz w:val="21"/>
          <w:szCs w:val="22"/>
        </w:rPr>
        <w:tab/>
      </w:r>
      <w:r>
        <w:rPr>
          <w:rStyle w:val="39"/>
          <w:rFonts w:hint="eastAsia"/>
        </w:rPr>
        <w:t>项目概况</w:t>
      </w:r>
      <w:r>
        <w:tab/>
      </w:r>
      <w:r>
        <w:fldChar w:fldCharType="end"/>
      </w:r>
      <w:r>
        <w:rPr>
          <w:rFonts w:hint="eastAsia"/>
          <w:lang w:val="en-US" w:eastAsia="zh-CN"/>
        </w:rPr>
        <w:t>33</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"_Toc437271279" </w:instrText>
      </w:r>
      <w:r>
        <w:fldChar w:fldCharType="separate"/>
      </w:r>
      <w:r>
        <w:rPr>
          <w:rStyle w:val="39"/>
          <w:rFonts w:hint="eastAsia"/>
        </w:rPr>
        <w:t>二、</w:t>
      </w:r>
      <w:r>
        <w:rPr>
          <w:rFonts w:eastAsiaTheme="minorEastAsia" w:cstheme="minorBidi"/>
          <w:smallCaps w:val="0"/>
          <w:sz w:val="21"/>
          <w:szCs w:val="22"/>
        </w:rPr>
        <w:tab/>
      </w:r>
      <w:r>
        <w:rPr>
          <w:rStyle w:val="39"/>
          <w:rFonts w:hint="eastAsia"/>
        </w:rPr>
        <w:t>风险分配基本框架</w:t>
      </w:r>
      <w:r>
        <w:tab/>
      </w:r>
      <w:r>
        <w:fldChar w:fldCharType="end"/>
      </w:r>
      <w:r>
        <w:rPr>
          <w:rFonts w:hint="eastAsia"/>
          <w:lang w:val="en-US" w:eastAsia="zh-CN"/>
        </w:rPr>
        <w:t>33</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"_Toc437271280" </w:instrText>
      </w:r>
      <w:r>
        <w:fldChar w:fldCharType="separate"/>
      </w:r>
      <w:r>
        <w:rPr>
          <w:rStyle w:val="39"/>
          <w:rFonts w:hint="eastAsia"/>
        </w:rPr>
        <w:t>三、</w:t>
      </w:r>
      <w:r>
        <w:rPr>
          <w:rFonts w:eastAsiaTheme="minorEastAsia" w:cstheme="minorBidi"/>
          <w:smallCaps w:val="0"/>
          <w:sz w:val="21"/>
          <w:szCs w:val="22"/>
        </w:rPr>
        <w:tab/>
      </w:r>
      <w:r>
        <w:rPr>
          <w:rStyle w:val="39"/>
          <w:rFonts w:hint="eastAsia"/>
        </w:rPr>
        <w:t>项目运作方式</w:t>
      </w:r>
      <w:r>
        <w:tab/>
      </w:r>
      <w:r>
        <w:fldChar w:fldCharType="end"/>
      </w:r>
      <w:r>
        <w:rPr>
          <w:rFonts w:hint="eastAsia"/>
          <w:lang w:val="en-US" w:eastAsia="zh-CN"/>
        </w:rPr>
        <w:t>34</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"_Toc437271281" </w:instrText>
      </w:r>
      <w:r>
        <w:fldChar w:fldCharType="separate"/>
      </w:r>
      <w:r>
        <w:rPr>
          <w:rStyle w:val="39"/>
          <w:rFonts w:hint="eastAsia"/>
        </w:rPr>
        <w:t>四、</w:t>
      </w:r>
      <w:r>
        <w:rPr>
          <w:rFonts w:eastAsiaTheme="minorEastAsia" w:cstheme="minorBidi"/>
          <w:smallCaps w:val="0"/>
          <w:sz w:val="21"/>
          <w:szCs w:val="22"/>
        </w:rPr>
        <w:tab/>
      </w:r>
      <w:r>
        <w:rPr>
          <w:rStyle w:val="39"/>
          <w:rFonts w:hint="eastAsia"/>
        </w:rPr>
        <w:t>交易结构</w:t>
      </w:r>
      <w:r>
        <w:tab/>
      </w:r>
      <w:r>
        <w:fldChar w:fldCharType="end"/>
      </w:r>
      <w:r>
        <w:rPr>
          <w:rFonts w:hint="eastAsia"/>
          <w:lang w:val="en-US" w:eastAsia="zh-CN"/>
        </w:rPr>
        <w:t>34</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"_Toc437271282" </w:instrText>
      </w:r>
      <w:r>
        <w:fldChar w:fldCharType="separate"/>
      </w:r>
      <w:r>
        <w:rPr>
          <w:rStyle w:val="39"/>
        </w:rPr>
        <w:t>4.1</w:t>
      </w:r>
      <w:r>
        <w:rPr>
          <w:rFonts w:eastAsiaTheme="minorEastAsia" w:cstheme="minorBidi"/>
          <w:i w:val="0"/>
          <w:iCs w:val="0"/>
          <w:sz w:val="21"/>
          <w:szCs w:val="22"/>
        </w:rPr>
        <w:tab/>
      </w:r>
      <w:r>
        <w:rPr>
          <w:rStyle w:val="39"/>
          <w:rFonts w:hint="eastAsia"/>
        </w:rPr>
        <w:t>投融资结构</w:t>
      </w:r>
      <w:r>
        <w:tab/>
      </w:r>
      <w:r>
        <w:fldChar w:fldCharType="end"/>
      </w:r>
      <w:r>
        <w:rPr>
          <w:rFonts w:hint="eastAsia"/>
          <w:lang w:val="en-US" w:eastAsia="zh-CN"/>
        </w:rPr>
        <w:t>34</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"_Toc437271283" </w:instrText>
      </w:r>
      <w:r>
        <w:fldChar w:fldCharType="separate"/>
      </w:r>
      <w:r>
        <w:rPr>
          <w:rStyle w:val="39"/>
          <w:rFonts w:hint="eastAsia"/>
        </w:rPr>
        <w:t>五、</w:t>
      </w:r>
      <w:r>
        <w:rPr>
          <w:rFonts w:eastAsiaTheme="minorEastAsia" w:cstheme="minorBidi"/>
          <w:smallCaps w:val="0"/>
          <w:sz w:val="21"/>
          <w:szCs w:val="22"/>
        </w:rPr>
        <w:tab/>
      </w:r>
      <w:r>
        <w:rPr>
          <w:rStyle w:val="39"/>
          <w:rFonts w:hint="eastAsia"/>
        </w:rPr>
        <w:t>合同体系</w:t>
      </w:r>
      <w:r>
        <w:tab/>
      </w:r>
      <w:r>
        <w:fldChar w:fldCharType="end"/>
      </w:r>
      <w:r>
        <w:rPr>
          <w:rFonts w:hint="eastAsia"/>
          <w:lang w:val="en-US" w:eastAsia="zh-CN"/>
        </w:rPr>
        <w:t>40</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"_Toc437271284" </w:instrText>
      </w:r>
      <w:r>
        <w:fldChar w:fldCharType="separate"/>
      </w:r>
      <w:r>
        <w:rPr>
          <w:rStyle w:val="39"/>
          <w:rFonts w:hint="eastAsia"/>
        </w:rPr>
        <w:t>六、</w:t>
      </w:r>
      <w:r>
        <w:rPr>
          <w:rFonts w:eastAsiaTheme="minorEastAsia" w:cstheme="minorBidi"/>
          <w:smallCaps w:val="0"/>
          <w:sz w:val="21"/>
          <w:szCs w:val="22"/>
        </w:rPr>
        <w:tab/>
      </w:r>
      <w:r>
        <w:rPr>
          <w:rStyle w:val="39"/>
          <w:rFonts w:hint="eastAsia"/>
        </w:rPr>
        <w:t>监管架构</w:t>
      </w:r>
      <w:r>
        <w:tab/>
      </w:r>
      <w:r>
        <w:rPr>
          <w:rFonts w:hint="eastAsia"/>
          <w:lang w:val="en-US" w:eastAsia="zh-CN"/>
        </w:rPr>
        <w:t>5</w:t>
      </w:r>
      <w:r>
        <w:fldChar w:fldCharType="end"/>
      </w:r>
      <w:r>
        <w:rPr>
          <w:rFonts w:hint="eastAsia"/>
          <w:lang w:val="en-US" w:eastAsia="zh-CN"/>
        </w:rPr>
        <w:t>6</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"_Toc437271285" </w:instrText>
      </w:r>
      <w:r>
        <w:fldChar w:fldCharType="separate"/>
      </w:r>
      <w:r>
        <w:rPr>
          <w:rStyle w:val="39"/>
          <w:rFonts w:hint="eastAsia"/>
        </w:rPr>
        <w:t>七、</w:t>
      </w:r>
      <w:r>
        <w:rPr>
          <w:rFonts w:eastAsiaTheme="minorEastAsia" w:cstheme="minorBidi"/>
          <w:smallCaps w:val="0"/>
          <w:sz w:val="21"/>
          <w:szCs w:val="22"/>
        </w:rPr>
        <w:tab/>
      </w:r>
      <w:r>
        <w:rPr>
          <w:rStyle w:val="39"/>
          <w:rFonts w:hint="eastAsia"/>
        </w:rPr>
        <w:t>附件</w:t>
      </w:r>
      <w:r>
        <w:tab/>
      </w:r>
      <w:r>
        <w:fldChar w:fldCharType="end"/>
      </w:r>
      <w:r>
        <w:rPr>
          <w:rFonts w:hint="eastAsia"/>
          <w:lang w:val="en-US" w:eastAsia="zh-CN"/>
        </w:rPr>
        <w:t>56</w:t>
      </w:r>
    </w:p>
    <w:p>
      <w:pPr>
        <w:pStyle w:val="25"/>
        <w:pageBreakBefore w:val="0"/>
        <w:kinsoku/>
        <w:bidi w:val="0"/>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"_Toc437271286" </w:instrText>
      </w:r>
      <w:r>
        <w:fldChar w:fldCharType="separate"/>
      </w:r>
      <w:r>
        <w:rPr>
          <w:rStyle w:val="39"/>
          <w:rFonts w:hint="eastAsia"/>
        </w:rPr>
        <w:t>第</w:t>
      </w:r>
      <w:r>
        <w:rPr>
          <w:rStyle w:val="39"/>
          <w:rFonts w:hint="eastAsia"/>
          <w:lang w:val="en-US" w:eastAsia="zh-CN"/>
        </w:rPr>
        <w:t>四</w:t>
      </w:r>
      <w:r>
        <w:rPr>
          <w:rStyle w:val="39"/>
          <w:rFonts w:hint="eastAsia"/>
        </w:rPr>
        <w:t>章</w:t>
      </w:r>
      <w:r>
        <w:rPr>
          <w:rStyle w:val="39"/>
          <w:rFonts w:hint="eastAsia"/>
          <w:lang w:val="en-US" w:eastAsia="zh-CN"/>
        </w:rPr>
        <w:t xml:space="preserve">  </w:t>
      </w:r>
      <w:r>
        <w:rPr>
          <w:rStyle w:val="39"/>
          <w:rFonts w:hint="eastAsia"/>
        </w:rPr>
        <w:t>评审方法</w:t>
      </w:r>
      <w:r>
        <w:tab/>
      </w:r>
      <w:r>
        <w:fldChar w:fldCharType="end"/>
      </w:r>
      <w:r>
        <w:rPr>
          <w:rFonts w:hint="eastAsia"/>
          <w:lang w:val="en-US" w:eastAsia="zh-CN"/>
        </w:rPr>
        <w:t>57</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"_Toc437271287" </w:instrText>
      </w:r>
      <w:r>
        <w:fldChar w:fldCharType="separate"/>
      </w:r>
      <w:r>
        <w:rPr>
          <w:rStyle w:val="39"/>
          <w:rFonts w:hint="eastAsia"/>
        </w:rPr>
        <w:t>评审方法前附表</w:t>
      </w:r>
      <w:r>
        <w:tab/>
      </w:r>
      <w:r>
        <w:fldChar w:fldCharType="end"/>
      </w:r>
      <w:r>
        <w:rPr>
          <w:rFonts w:hint="eastAsia"/>
          <w:lang w:val="en-US" w:eastAsia="zh-CN"/>
        </w:rPr>
        <w:t>58</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"_Toc437271288" </w:instrText>
      </w:r>
      <w:r>
        <w:fldChar w:fldCharType="separate"/>
      </w:r>
      <w:r>
        <w:rPr>
          <w:rStyle w:val="39"/>
          <w:rFonts w:hint="eastAsia"/>
        </w:rPr>
        <w:t>评标标准细则</w:t>
      </w:r>
      <w:r>
        <w:tab/>
      </w:r>
      <w:r>
        <w:fldChar w:fldCharType="end"/>
      </w:r>
      <w:r>
        <w:rPr>
          <w:rFonts w:hint="eastAsia"/>
          <w:lang w:val="en-US" w:eastAsia="zh-CN"/>
        </w:rPr>
        <w:t>59</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"_Toc437271289" </w:instrText>
      </w:r>
      <w:r>
        <w:fldChar w:fldCharType="separate"/>
      </w:r>
      <w:r>
        <w:rPr>
          <w:rStyle w:val="39"/>
        </w:rPr>
        <w:t>1</w:t>
      </w:r>
      <w:r>
        <w:rPr>
          <w:rFonts w:eastAsiaTheme="minorEastAsia" w:cstheme="minorBidi"/>
          <w:smallCaps w:val="0"/>
          <w:sz w:val="21"/>
          <w:szCs w:val="22"/>
        </w:rPr>
        <w:tab/>
      </w:r>
      <w:r>
        <w:rPr>
          <w:rStyle w:val="39"/>
          <w:rFonts w:hint="eastAsia"/>
        </w:rPr>
        <w:t>评审方法</w:t>
      </w:r>
      <w:r>
        <w:tab/>
      </w:r>
      <w:r>
        <w:fldChar w:fldCharType="end"/>
      </w:r>
      <w:r>
        <w:rPr>
          <w:rFonts w:hint="eastAsia"/>
          <w:lang w:val="en-US" w:eastAsia="zh-CN"/>
        </w:rPr>
        <w:t>61</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"_Toc437271290" </w:instrText>
      </w:r>
      <w:r>
        <w:fldChar w:fldCharType="separate"/>
      </w:r>
      <w:r>
        <w:rPr>
          <w:rStyle w:val="39"/>
        </w:rPr>
        <w:t>2</w:t>
      </w:r>
      <w:r>
        <w:rPr>
          <w:rFonts w:eastAsiaTheme="minorEastAsia" w:cstheme="minorBidi"/>
          <w:smallCaps w:val="0"/>
          <w:sz w:val="21"/>
          <w:szCs w:val="22"/>
        </w:rPr>
        <w:tab/>
      </w:r>
      <w:r>
        <w:rPr>
          <w:rStyle w:val="39"/>
          <w:rFonts w:hint="eastAsia"/>
        </w:rPr>
        <w:t>评审程序</w:t>
      </w:r>
      <w:r>
        <w:tab/>
      </w:r>
      <w:r>
        <w:fldChar w:fldCharType="end"/>
      </w:r>
      <w:r>
        <w:rPr>
          <w:rFonts w:hint="eastAsia"/>
          <w:lang w:val="en-US" w:eastAsia="zh-CN"/>
        </w:rPr>
        <w:t>61</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"_Toc437271291" </w:instrText>
      </w:r>
      <w:r>
        <w:fldChar w:fldCharType="separate"/>
      </w:r>
      <w:r>
        <w:rPr>
          <w:rStyle w:val="39"/>
        </w:rPr>
        <w:t>3</w:t>
      </w:r>
      <w:r>
        <w:rPr>
          <w:rFonts w:eastAsiaTheme="minorEastAsia" w:cstheme="minorBidi"/>
          <w:smallCaps w:val="0"/>
          <w:sz w:val="21"/>
          <w:szCs w:val="22"/>
        </w:rPr>
        <w:tab/>
      </w:r>
      <w:r>
        <w:rPr>
          <w:rStyle w:val="39"/>
          <w:rFonts w:hint="eastAsia"/>
        </w:rPr>
        <w:t>投标文件初审</w:t>
      </w:r>
      <w:r>
        <w:tab/>
      </w:r>
      <w:r>
        <w:fldChar w:fldCharType="end"/>
      </w:r>
      <w:r>
        <w:rPr>
          <w:rFonts w:hint="eastAsia"/>
          <w:lang w:val="en-US" w:eastAsia="zh-CN"/>
        </w:rPr>
        <w:t>61</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"_Toc437271292" </w:instrText>
      </w:r>
      <w:r>
        <w:fldChar w:fldCharType="separate"/>
      </w:r>
      <w:r>
        <w:rPr>
          <w:rStyle w:val="39"/>
        </w:rPr>
        <w:t>3.1</w:t>
      </w:r>
      <w:r>
        <w:rPr>
          <w:rFonts w:eastAsiaTheme="minorEastAsia" w:cstheme="minorBidi"/>
          <w:i w:val="0"/>
          <w:iCs w:val="0"/>
          <w:sz w:val="21"/>
          <w:szCs w:val="22"/>
        </w:rPr>
        <w:tab/>
      </w:r>
      <w:r>
        <w:rPr>
          <w:rStyle w:val="39"/>
          <w:rFonts w:hint="eastAsia"/>
        </w:rPr>
        <w:t>形式评审标准</w:t>
      </w:r>
      <w:r>
        <w:tab/>
      </w:r>
      <w:r>
        <w:fldChar w:fldCharType="end"/>
      </w:r>
      <w:r>
        <w:rPr>
          <w:rFonts w:hint="eastAsia"/>
          <w:lang w:val="en-US" w:eastAsia="zh-CN"/>
        </w:rPr>
        <w:t>61</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"_Toc437271293" </w:instrText>
      </w:r>
      <w:r>
        <w:fldChar w:fldCharType="separate"/>
      </w:r>
      <w:r>
        <w:rPr>
          <w:rStyle w:val="39"/>
        </w:rPr>
        <w:t>3.2</w:t>
      </w:r>
      <w:r>
        <w:rPr>
          <w:rFonts w:eastAsiaTheme="minorEastAsia" w:cstheme="minorBidi"/>
          <w:i w:val="0"/>
          <w:iCs w:val="0"/>
          <w:sz w:val="21"/>
          <w:szCs w:val="22"/>
        </w:rPr>
        <w:tab/>
      </w:r>
      <w:r>
        <w:rPr>
          <w:rStyle w:val="39"/>
          <w:rFonts w:hint="eastAsia"/>
        </w:rPr>
        <w:t>资格性检查评审标准</w:t>
      </w:r>
      <w:r>
        <w:tab/>
      </w:r>
      <w:r>
        <w:fldChar w:fldCharType="end"/>
      </w:r>
      <w:r>
        <w:rPr>
          <w:rFonts w:hint="eastAsia"/>
          <w:lang w:val="en-US" w:eastAsia="zh-CN"/>
        </w:rPr>
        <w:t>61</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"_Toc437271294" </w:instrText>
      </w:r>
      <w:r>
        <w:fldChar w:fldCharType="separate"/>
      </w:r>
      <w:r>
        <w:rPr>
          <w:rStyle w:val="39"/>
        </w:rPr>
        <w:t>3.3</w:t>
      </w:r>
      <w:r>
        <w:rPr>
          <w:rFonts w:eastAsiaTheme="minorEastAsia" w:cstheme="minorBidi"/>
          <w:i w:val="0"/>
          <w:iCs w:val="0"/>
          <w:sz w:val="21"/>
          <w:szCs w:val="22"/>
        </w:rPr>
        <w:tab/>
      </w:r>
      <w:r>
        <w:rPr>
          <w:rStyle w:val="39"/>
          <w:rFonts w:hint="eastAsia"/>
        </w:rPr>
        <w:t>符合性检查评审标准</w:t>
      </w:r>
      <w:r>
        <w:tab/>
      </w:r>
      <w:r>
        <w:fldChar w:fldCharType="end"/>
      </w:r>
      <w:r>
        <w:rPr>
          <w:rFonts w:hint="eastAsia"/>
          <w:lang w:val="en-US" w:eastAsia="zh-CN"/>
        </w:rPr>
        <w:t>62</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"_Toc437271295" </w:instrText>
      </w:r>
      <w:r>
        <w:fldChar w:fldCharType="separate"/>
      </w:r>
      <w:r>
        <w:rPr>
          <w:rStyle w:val="39"/>
        </w:rPr>
        <w:t>4</w:t>
      </w:r>
      <w:r>
        <w:rPr>
          <w:rFonts w:eastAsiaTheme="minorEastAsia" w:cstheme="minorBidi"/>
          <w:smallCaps w:val="0"/>
          <w:sz w:val="21"/>
          <w:szCs w:val="22"/>
        </w:rPr>
        <w:tab/>
      </w:r>
      <w:r>
        <w:rPr>
          <w:rStyle w:val="39"/>
          <w:rFonts w:hint="eastAsia"/>
        </w:rPr>
        <w:t>澄清有关问题</w:t>
      </w:r>
      <w:r>
        <w:tab/>
      </w:r>
      <w:r>
        <w:fldChar w:fldCharType="end"/>
      </w:r>
      <w:r>
        <w:rPr>
          <w:rFonts w:hint="eastAsia"/>
          <w:lang w:val="en-US" w:eastAsia="zh-CN"/>
        </w:rPr>
        <w:t>62</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"_Toc437271296" </w:instrText>
      </w:r>
      <w:r>
        <w:fldChar w:fldCharType="separate"/>
      </w:r>
      <w:r>
        <w:rPr>
          <w:rStyle w:val="39"/>
        </w:rPr>
        <w:t>5</w:t>
      </w:r>
      <w:r>
        <w:rPr>
          <w:rFonts w:eastAsiaTheme="minorEastAsia" w:cstheme="minorBidi"/>
          <w:smallCaps w:val="0"/>
          <w:sz w:val="21"/>
          <w:szCs w:val="22"/>
        </w:rPr>
        <w:tab/>
      </w:r>
      <w:r>
        <w:rPr>
          <w:rStyle w:val="39"/>
          <w:rFonts w:hint="eastAsia"/>
        </w:rPr>
        <w:t>比较与评价</w:t>
      </w:r>
      <w:r>
        <w:tab/>
      </w:r>
      <w:r>
        <w:fldChar w:fldCharType="end"/>
      </w:r>
      <w:r>
        <w:rPr>
          <w:rFonts w:hint="eastAsia"/>
          <w:lang w:val="en-US" w:eastAsia="zh-CN"/>
        </w:rPr>
        <w:t>62</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"_Toc437271297" </w:instrText>
      </w:r>
      <w:r>
        <w:fldChar w:fldCharType="separate"/>
      </w:r>
      <w:r>
        <w:rPr>
          <w:rStyle w:val="39"/>
        </w:rPr>
        <w:t>6</w:t>
      </w:r>
      <w:r>
        <w:rPr>
          <w:rFonts w:eastAsiaTheme="minorEastAsia" w:cstheme="minorBidi"/>
          <w:smallCaps w:val="0"/>
          <w:sz w:val="21"/>
          <w:szCs w:val="22"/>
        </w:rPr>
        <w:tab/>
      </w:r>
      <w:r>
        <w:rPr>
          <w:rStyle w:val="39"/>
          <w:rFonts w:hint="eastAsia"/>
        </w:rPr>
        <w:t>评审结果</w:t>
      </w:r>
      <w:r>
        <w:tab/>
      </w:r>
      <w:r>
        <w:fldChar w:fldCharType="end"/>
      </w:r>
      <w:r>
        <w:rPr>
          <w:rFonts w:hint="eastAsia"/>
          <w:lang w:val="en-US" w:eastAsia="zh-CN"/>
        </w:rPr>
        <w:t>62</w:t>
      </w:r>
    </w:p>
    <w:p>
      <w:pPr>
        <w:pStyle w:val="25"/>
        <w:pageBreakBefore w:val="0"/>
        <w:kinsoku/>
        <w:bidi w:val="0"/>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"_Toc437271298" </w:instrText>
      </w:r>
      <w:r>
        <w:fldChar w:fldCharType="separate"/>
      </w:r>
      <w:r>
        <w:rPr>
          <w:rStyle w:val="39"/>
          <w:rFonts w:hint="eastAsia"/>
        </w:rPr>
        <w:t>第</w:t>
      </w:r>
      <w:r>
        <w:rPr>
          <w:rStyle w:val="39"/>
          <w:rFonts w:hint="eastAsia"/>
          <w:lang w:val="en-US" w:eastAsia="zh-CN"/>
        </w:rPr>
        <w:t>五</w:t>
      </w:r>
      <w:r>
        <w:rPr>
          <w:rStyle w:val="39"/>
          <w:rFonts w:hint="eastAsia"/>
        </w:rPr>
        <w:t>章</w:t>
      </w:r>
      <w:r>
        <w:rPr>
          <w:rStyle w:val="39"/>
          <w:rFonts w:hint="eastAsia"/>
          <w:lang w:val="en-US" w:eastAsia="zh-CN"/>
        </w:rPr>
        <w:t xml:space="preserve">  </w:t>
      </w:r>
      <w:r>
        <w:rPr>
          <w:rStyle w:val="39"/>
          <w:rFonts w:hint="eastAsia"/>
        </w:rPr>
        <w:t>投标文件格式</w:t>
      </w:r>
      <w:r>
        <w:tab/>
      </w:r>
      <w:r>
        <w:fldChar w:fldCharType="end"/>
      </w:r>
      <w:r>
        <w:rPr>
          <w:rFonts w:hint="eastAsia"/>
          <w:lang w:val="en-US" w:eastAsia="zh-CN"/>
        </w:rPr>
        <w:t>64</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"_Toc437271299" </w:instrText>
      </w:r>
      <w:r>
        <w:fldChar w:fldCharType="separate"/>
      </w:r>
      <w:r>
        <w:rPr>
          <w:rStyle w:val="39"/>
          <w:rFonts w:hint="eastAsia"/>
        </w:rPr>
        <w:t>一、投标函</w:t>
      </w:r>
      <w:r>
        <w:tab/>
      </w:r>
      <w:r>
        <w:fldChar w:fldCharType="end"/>
      </w:r>
      <w:r>
        <w:rPr>
          <w:rFonts w:hint="eastAsia"/>
          <w:lang w:val="en-US" w:eastAsia="zh-CN"/>
        </w:rPr>
        <w:t>65</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"_Toc437271301" </w:instrText>
      </w:r>
      <w:r>
        <w:fldChar w:fldCharType="separate"/>
      </w:r>
      <w:r>
        <w:rPr>
          <w:rFonts w:hint="eastAsia"/>
          <w:lang w:val="en-US" w:eastAsia="zh-CN"/>
        </w:rPr>
        <w:t>二</w:t>
      </w:r>
      <w:r>
        <w:rPr>
          <w:rStyle w:val="39"/>
          <w:rFonts w:hint="eastAsia"/>
        </w:rPr>
        <w:t>、法定代表人身份证明</w:t>
      </w:r>
      <w:r>
        <w:tab/>
      </w:r>
      <w:r>
        <w:fldChar w:fldCharType="end"/>
      </w:r>
      <w:r>
        <w:rPr>
          <w:rFonts w:hint="eastAsia"/>
          <w:lang w:val="en-US" w:eastAsia="zh-CN"/>
        </w:rPr>
        <w:t>67</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"_Toc437271302" </w:instrText>
      </w:r>
      <w:r>
        <w:fldChar w:fldCharType="separate"/>
      </w:r>
      <w:r>
        <w:rPr>
          <w:rFonts w:hint="eastAsia"/>
          <w:lang w:val="en-US" w:eastAsia="zh-CN"/>
        </w:rPr>
        <w:t>三</w:t>
      </w:r>
      <w:r>
        <w:rPr>
          <w:rStyle w:val="39"/>
          <w:rFonts w:hint="eastAsia"/>
        </w:rPr>
        <w:t>、授权委托书</w:t>
      </w:r>
      <w:r>
        <w:tab/>
      </w:r>
      <w:r>
        <w:fldChar w:fldCharType="end"/>
      </w:r>
      <w:r>
        <w:rPr>
          <w:rFonts w:hint="eastAsia"/>
          <w:lang w:val="en-US" w:eastAsia="zh-CN"/>
        </w:rPr>
        <w:t>68</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"_Toc437271303" </w:instrText>
      </w:r>
      <w:r>
        <w:fldChar w:fldCharType="separate"/>
      </w:r>
      <w:r>
        <w:rPr>
          <w:rFonts w:hint="eastAsia"/>
          <w:lang w:val="en-US" w:eastAsia="zh-CN"/>
        </w:rPr>
        <w:t>四</w:t>
      </w:r>
      <w:r>
        <w:rPr>
          <w:rStyle w:val="39"/>
          <w:rFonts w:hint="eastAsia"/>
        </w:rPr>
        <w:t>、联合体协议书（如有）</w:t>
      </w:r>
      <w:r>
        <w:tab/>
      </w:r>
      <w:r>
        <w:rPr>
          <w:rFonts w:hint="eastAsia"/>
          <w:lang w:val="en-US" w:eastAsia="zh-CN"/>
        </w:rPr>
        <w:t>6</w:t>
      </w:r>
      <w:r>
        <w:fldChar w:fldCharType="end"/>
      </w:r>
      <w:r>
        <w:rPr>
          <w:rFonts w:hint="eastAsia"/>
          <w:lang w:val="en-US" w:eastAsia="zh-CN"/>
        </w:rPr>
        <w:t>9</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"_Toc437271304" </w:instrText>
      </w:r>
      <w:r>
        <w:fldChar w:fldCharType="separate"/>
      </w:r>
      <w:r>
        <w:rPr>
          <w:rStyle w:val="39"/>
          <w:rFonts w:hint="eastAsia"/>
          <w:lang w:val="en-US" w:eastAsia="zh-CN"/>
        </w:rPr>
        <w:t>五</w:t>
      </w:r>
      <w:r>
        <w:rPr>
          <w:rStyle w:val="39"/>
          <w:rFonts w:hint="eastAsia"/>
        </w:rPr>
        <w:t>、承诺函</w:t>
      </w:r>
      <w:r>
        <w:tab/>
      </w:r>
      <w:r>
        <w:fldChar w:fldCharType="end"/>
      </w:r>
      <w:r>
        <w:rPr>
          <w:rFonts w:hint="eastAsia"/>
          <w:lang w:val="en-US" w:eastAsia="zh-CN"/>
        </w:rPr>
        <w:t>70</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"_Toc437271305" </w:instrText>
      </w:r>
      <w:r>
        <w:fldChar w:fldCharType="separate"/>
      </w:r>
      <w:r>
        <w:rPr>
          <w:rStyle w:val="39"/>
          <w:rFonts w:hint="eastAsia"/>
          <w:lang w:val="en-US" w:eastAsia="zh-CN"/>
        </w:rPr>
        <w:t>六</w:t>
      </w:r>
      <w:r>
        <w:rPr>
          <w:rStyle w:val="39"/>
          <w:rFonts w:hint="eastAsia"/>
        </w:rPr>
        <w:t>、投标保证金</w:t>
      </w:r>
      <w:r>
        <w:tab/>
      </w:r>
      <w:r>
        <w:fldChar w:fldCharType="end"/>
      </w:r>
      <w:r>
        <w:rPr>
          <w:rFonts w:hint="eastAsia"/>
          <w:lang w:val="en-US" w:eastAsia="zh-CN"/>
        </w:rPr>
        <w:t>71</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"_Toc437271306" </w:instrText>
      </w:r>
      <w:r>
        <w:fldChar w:fldCharType="separate"/>
      </w:r>
      <w:r>
        <w:rPr>
          <w:rStyle w:val="39"/>
          <w:rFonts w:hint="eastAsia"/>
          <w:lang w:val="en-US" w:eastAsia="zh-CN"/>
        </w:rPr>
        <w:t>七</w:t>
      </w:r>
      <w:r>
        <w:rPr>
          <w:rStyle w:val="39"/>
          <w:rFonts w:hint="eastAsia"/>
        </w:rPr>
        <w:t>、项目总投资</w:t>
      </w:r>
      <w:r>
        <w:tab/>
      </w:r>
      <w:r>
        <w:fldChar w:fldCharType="end"/>
      </w:r>
      <w:r>
        <w:rPr>
          <w:rFonts w:hint="eastAsia"/>
          <w:lang w:val="en-US" w:eastAsia="zh-CN"/>
        </w:rPr>
        <w:t>72</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"_Toc437271307" </w:instrText>
      </w:r>
      <w:r>
        <w:fldChar w:fldCharType="separate"/>
      </w:r>
      <w:r>
        <w:rPr>
          <w:rStyle w:val="39"/>
          <w:rFonts w:hint="eastAsia"/>
          <w:lang w:val="en-US" w:eastAsia="zh-CN"/>
        </w:rPr>
        <w:t>八</w:t>
      </w:r>
      <w:r>
        <w:rPr>
          <w:rStyle w:val="39"/>
          <w:rFonts w:hint="eastAsia"/>
        </w:rPr>
        <w:t>、偏离表</w:t>
      </w:r>
      <w:r>
        <w:tab/>
      </w:r>
      <w:r>
        <w:fldChar w:fldCharType="end"/>
      </w:r>
      <w:r>
        <w:rPr>
          <w:rFonts w:hint="eastAsia"/>
          <w:lang w:val="en-US" w:eastAsia="zh-CN"/>
        </w:rPr>
        <w:t>73</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"_Toc437271308" </w:instrText>
      </w:r>
      <w:r>
        <w:fldChar w:fldCharType="separate"/>
      </w:r>
      <w:r>
        <w:rPr>
          <w:rStyle w:val="39"/>
          <w:rFonts w:hint="eastAsia"/>
          <w:lang w:val="en-US" w:eastAsia="zh-CN"/>
        </w:rPr>
        <w:t>九</w:t>
      </w:r>
      <w:r>
        <w:rPr>
          <w:rStyle w:val="39"/>
          <w:rFonts w:hint="eastAsia"/>
        </w:rPr>
        <w:t>、项目公司设立方案</w:t>
      </w:r>
      <w:r>
        <w:tab/>
      </w:r>
      <w:r>
        <w:fldChar w:fldCharType="end"/>
      </w:r>
      <w:r>
        <w:rPr>
          <w:rFonts w:hint="eastAsia"/>
          <w:lang w:val="en-US" w:eastAsia="zh-CN"/>
        </w:rPr>
        <w:t>74</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"_Toc437271309" </w:instrText>
      </w:r>
      <w:r>
        <w:fldChar w:fldCharType="separate"/>
      </w:r>
      <w:r>
        <w:rPr>
          <w:rStyle w:val="39"/>
          <w:rFonts w:hint="eastAsia"/>
          <w:b/>
        </w:rPr>
        <w:t>（一）</w:t>
      </w:r>
      <w:r>
        <w:rPr>
          <w:rFonts w:eastAsiaTheme="minorEastAsia" w:cstheme="minorBidi"/>
          <w:i w:val="0"/>
          <w:iCs w:val="0"/>
          <w:sz w:val="21"/>
          <w:szCs w:val="22"/>
        </w:rPr>
        <w:tab/>
      </w:r>
      <w:r>
        <w:rPr>
          <w:rStyle w:val="39"/>
          <w:rFonts w:hint="eastAsia"/>
          <w:b/>
        </w:rPr>
        <w:t>拟组建项目组织机构组成表</w:t>
      </w:r>
      <w:r>
        <w:tab/>
      </w:r>
      <w:r>
        <w:fldChar w:fldCharType="end"/>
      </w:r>
      <w:r>
        <w:rPr>
          <w:rFonts w:hint="eastAsia"/>
          <w:lang w:val="en-US" w:eastAsia="zh-CN"/>
        </w:rPr>
        <w:t>74</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"_Toc437271310" </w:instrText>
      </w:r>
      <w:r>
        <w:fldChar w:fldCharType="separate"/>
      </w:r>
      <w:r>
        <w:rPr>
          <w:rStyle w:val="39"/>
          <w:rFonts w:hint="eastAsia"/>
          <w:b/>
        </w:rPr>
        <w:t>（二）</w:t>
      </w:r>
      <w:r>
        <w:rPr>
          <w:rFonts w:eastAsiaTheme="minorEastAsia" w:cstheme="minorBidi"/>
          <w:i w:val="0"/>
          <w:iCs w:val="0"/>
          <w:sz w:val="21"/>
          <w:szCs w:val="22"/>
        </w:rPr>
        <w:tab/>
      </w:r>
      <w:r>
        <w:rPr>
          <w:rStyle w:val="39"/>
          <w:rFonts w:hint="eastAsia"/>
          <w:b/>
        </w:rPr>
        <w:t>主要人员简历表</w:t>
      </w:r>
      <w:r>
        <w:tab/>
      </w:r>
      <w:r>
        <w:fldChar w:fldCharType="end"/>
      </w:r>
      <w:r>
        <w:rPr>
          <w:rFonts w:hint="eastAsia"/>
          <w:lang w:val="en-US" w:eastAsia="zh-CN"/>
        </w:rPr>
        <w:t>75</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"_Toc437271311" </w:instrText>
      </w:r>
      <w:r>
        <w:fldChar w:fldCharType="separate"/>
      </w:r>
      <w:r>
        <w:rPr>
          <w:rStyle w:val="39"/>
          <w:rFonts w:hint="eastAsia"/>
        </w:rPr>
        <w:t>十、资格文件</w:t>
      </w:r>
      <w:r>
        <w:tab/>
      </w:r>
      <w:r>
        <w:fldChar w:fldCharType="end"/>
      </w:r>
      <w:r>
        <w:rPr>
          <w:rFonts w:hint="eastAsia"/>
          <w:lang w:val="en-US" w:eastAsia="zh-CN"/>
        </w:rPr>
        <w:t>76</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"_Toc437271312" </w:instrText>
      </w:r>
      <w:r>
        <w:fldChar w:fldCharType="separate"/>
      </w:r>
      <w:r>
        <w:rPr>
          <w:rStyle w:val="39"/>
          <w:rFonts w:hint="eastAsia"/>
          <w:b/>
        </w:rPr>
        <w:t>（一）</w:t>
      </w:r>
      <w:r>
        <w:rPr>
          <w:rFonts w:eastAsiaTheme="minorEastAsia" w:cstheme="minorBidi"/>
          <w:i w:val="0"/>
          <w:iCs w:val="0"/>
          <w:sz w:val="21"/>
          <w:szCs w:val="22"/>
        </w:rPr>
        <w:tab/>
      </w:r>
      <w:r>
        <w:rPr>
          <w:rStyle w:val="39"/>
          <w:rFonts w:hint="eastAsia"/>
          <w:b/>
        </w:rPr>
        <w:t>投标人基本情况</w:t>
      </w:r>
      <w:r>
        <w:tab/>
      </w:r>
      <w:r>
        <w:fldChar w:fldCharType="end"/>
      </w:r>
      <w:r>
        <w:rPr>
          <w:rFonts w:hint="eastAsia"/>
          <w:lang w:val="en-US" w:eastAsia="zh-CN"/>
        </w:rPr>
        <w:t>76</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"_Toc437271313" </w:instrText>
      </w:r>
      <w:r>
        <w:fldChar w:fldCharType="separate"/>
      </w:r>
      <w:r>
        <w:rPr>
          <w:rStyle w:val="39"/>
          <w:rFonts w:hint="eastAsia"/>
          <w:b/>
        </w:rPr>
        <w:t>（二）</w:t>
      </w:r>
      <w:r>
        <w:rPr>
          <w:rFonts w:eastAsiaTheme="minorEastAsia" w:cstheme="minorBidi"/>
          <w:i w:val="0"/>
          <w:iCs w:val="0"/>
          <w:sz w:val="21"/>
          <w:szCs w:val="22"/>
        </w:rPr>
        <w:tab/>
      </w:r>
      <w:r>
        <w:rPr>
          <w:rStyle w:val="39"/>
          <w:rFonts w:hint="eastAsia"/>
          <w:b/>
        </w:rPr>
        <w:t>近年财务状况表</w:t>
      </w:r>
      <w:r>
        <w:tab/>
      </w:r>
      <w:r>
        <w:fldChar w:fldCharType="end"/>
      </w:r>
      <w:r>
        <w:rPr>
          <w:rFonts w:hint="eastAsia"/>
          <w:lang w:val="en-US" w:eastAsia="zh-CN"/>
        </w:rPr>
        <w:t>77</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"_Toc437271314" </w:instrText>
      </w:r>
      <w:r>
        <w:fldChar w:fldCharType="separate"/>
      </w:r>
      <w:r>
        <w:rPr>
          <w:rStyle w:val="39"/>
          <w:rFonts w:hint="eastAsia"/>
          <w:b/>
        </w:rPr>
        <w:t>（三）</w:t>
      </w:r>
      <w:r>
        <w:rPr>
          <w:rFonts w:eastAsiaTheme="minorEastAsia" w:cstheme="minorBidi"/>
          <w:i w:val="0"/>
          <w:iCs w:val="0"/>
          <w:sz w:val="21"/>
          <w:szCs w:val="22"/>
        </w:rPr>
        <w:tab/>
      </w:r>
      <w:r>
        <w:rPr>
          <w:rStyle w:val="39"/>
          <w:rFonts w:hint="eastAsia"/>
          <w:b/>
        </w:rPr>
        <w:t>项目业绩表</w:t>
      </w:r>
      <w:r>
        <w:tab/>
      </w:r>
      <w:r>
        <w:fldChar w:fldCharType="end"/>
      </w:r>
      <w:r>
        <w:rPr>
          <w:rFonts w:hint="eastAsia"/>
          <w:lang w:val="en-US" w:eastAsia="zh-CN"/>
        </w:rPr>
        <w:t>78</w:t>
      </w:r>
    </w:p>
    <w:p>
      <w:pPr>
        <w:pStyle w:val="19"/>
        <w:pageBreakBefore w:val="0"/>
        <w:kinsoku/>
        <w:bidi w:val="0"/>
        <w:spacing w:line="360" w:lineRule="auto"/>
        <w:textAlignment w:val="auto"/>
        <w:rPr>
          <w:rFonts w:eastAsiaTheme="minorEastAsia" w:cstheme="minorBidi"/>
          <w:i w:val="0"/>
          <w:iCs w:val="0"/>
          <w:sz w:val="21"/>
          <w:szCs w:val="22"/>
        </w:rPr>
      </w:pPr>
      <w:r>
        <w:fldChar w:fldCharType="begin"/>
      </w:r>
      <w:r>
        <w:instrText xml:space="preserve"> HYPERLINK \l "_Toc437271315" </w:instrText>
      </w:r>
      <w:r>
        <w:fldChar w:fldCharType="separate"/>
      </w:r>
      <w:r>
        <w:rPr>
          <w:rStyle w:val="39"/>
          <w:rFonts w:hint="eastAsia"/>
          <w:b/>
        </w:rPr>
        <w:t>（四）</w:t>
      </w:r>
      <w:r>
        <w:rPr>
          <w:rFonts w:eastAsiaTheme="minorEastAsia" w:cstheme="minorBidi"/>
          <w:i w:val="0"/>
          <w:iCs w:val="0"/>
          <w:sz w:val="21"/>
          <w:szCs w:val="22"/>
        </w:rPr>
        <w:tab/>
      </w:r>
      <w:r>
        <w:rPr>
          <w:rStyle w:val="39"/>
          <w:rFonts w:hint="eastAsia"/>
          <w:b/>
        </w:rPr>
        <w:t>近年发生的诉讼及仲裁情况</w:t>
      </w:r>
      <w:r>
        <w:tab/>
      </w:r>
      <w:r>
        <w:fldChar w:fldCharType="end"/>
      </w:r>
      <w:r>
        <w:rPr>
          <w:rFonts w:hint="eastAsia"/>
          <w:lang w:val="en-US" w:eastAsia="zh-CN"/>
        </w:rPr>
        <w:t>80</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"_Toc437271316" </w:instrText>
      </w:r>
      <w:r>
        <w:fldChar w:fldCharType="separate"/>
      </w:r>
      <w:r>
        <w:rPr>
          <w:rStyle w:val="39"/>
          <w:rFonts w:hint="eastAsia"/>
        </w:rPr>
        <w:t>十</w:t>
      </w:r>
      <w:r>
        <w:rPr>
          <w:rStyle w:val="39"/>
          <w:rFonts w:hint="eastAsia"/>
          <w:lang w:val="en-US" w:eastAsia="zh-CN"/>
        </w:rPr>
        <w:t>一</w:t>
      </w:r>
      <w:r>
        <w:rPr>
          <w:rStyle w:val="39"/>
          <w:rFonts w:hint="eastAsia"/>
        </w:rPr>
        <w:t>、投标人拟定的项目实施方案</w:t>
      </w:r>
      <w:r>
        <w:tab/>
      </w:r>
      <w:r>
        <w:fldChar w:fldCharType="end"/>
      </w:r>
      <w:r>
        <w:rPr>
          <w:rFonts w:hint="eastAsia"/>
          <w:lang w:val="en-US" w:eastAsia="zh-CN"/>
        </w:rPr>
        <w:t>81</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"_Toc437271322" </w:instrText>
      </w:r>
      <w:r>
        <w:fldChar w:fldCharType="separate"/>
      </w:r>
      <w:r>
        <w:rPr>
          <w:rStyle w:val="39"/>
          <w:rFonts w:hint="eastAsia"/>
        </w:rPr>
        <w:t>十</w:t>
      </w:r>
      <w:r>
        <w:rPr>
          <w:rStyle w:val="39"/>
          <w:rFonts w:hint="eastAsia"/>
          <w:lang w:val="en-US" w:eastAsia="zh-CN"/>
        </w:rPr>
        <w:t>二</w:t>
      </w:r>
      <w:r>
        <w:rPr>
          <w:rStyle w:val="39"/>
          <w:rFonts w:hint="eastAsia"/>
        </w:rPr>
        <w:t>、声明函</w:t>
      </w:r>
      <w:r>
        <w:tab/>
      </w:r>
      <w:r>
        <w:fldChar w:fldCharType="end"/>
      </w:r>
      <w:r>
        <w:rPr>
          <w:rFonts w:hint="eastAsia"/>
          <w:lang w:val="en-US" w:eastAsia="zh-CN"/>
        </w:rPr>
        <w:t>82</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"_Toc437271323" </w:instrText>
      </w:r>
      <w:r>
        <w:fldChar w:fldCharType="separate"/>
      </w:r>
      <w:r>
        <w:rPr>
          <w:rStyle w:val="39"/>
          <w:rFonts w:hint="eastAsia"/>
        </w:rPr>
        <w:t>十</w:t>
      </w:r>
      <w:r>
        <w:rPr>
          <w:rStyle w:val="39"/>
          <w:rFonts w:hint="eastAsia"/>
          <w:lang w:val="en-US" w:eastAsia="zh-CN"/>
        </w:rPr>
        <w:t>三</w:t>
      </w:r>
      <w:r>
        <w:rPr>
          <w:rStyle w:val="39"/>
          <w:rFonts w:hint="eastAsia"/>
        </w:rPr>
        <w:t>、社会资本综合实力</w:t>
      </w:r>
      <w:r>
        <w:tab/>
      </w:r>
      <w:r>
        <w:fldChar w:fldCharType="end"/>
      </w:r>
      <w:r>
        <w:rPr>
          <w:rFonts w:hint="eastAsia"/>
          <w:lang w:val="en-US" w:eastAsia="zh-CN"/>
        </w:rPr>
        <w:t>84</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"_Toc437271324" </w:instrText>
      </w:r>
      <w:r>
        <w:fldChar w:fldCharType="separate"/>
      </w:r>
      <w:r>
        <w:rPr>
          <w:rStyle w:val="39"/>
          <w:rFonts w:hint="eastAsia"/>
        </w:rPr>
        <w:t>十</w:t>
      </w:r>
      <w:r>
        <w:rPr>
          <w:rStyle w:val="39"/>
          <w:rFonts w:hint="eastAsia"/>
          <w:lang w:val="en-US" w:eastAsia="zh-CN"/>
        </w:rPr>
        <w:t>四</w:t>
      </w:r>
      <w:r>
        <w:rPr>
          <w:rStyle w:val="39"/>
          <w:rFonts w:hint="eastAsia"/>
        </w:rPr>
        <w:t>、目标承诺书</w:t>
      </w:r>
      <w:r>
        <w:tab/>
      </w:r>
      <w:r>
        <w:fldChar w:fldCharType="end"/>
      </w:r>
      <w:r>
        <w:rPr>
          <w:rFonts w:hint="eastAsia"/>
          <w:lang w:val="en-US" w:eastAsia="zh-CN"/>
        </w:rPr>
        <w:t>85</w:t>
      </w:r>
    </w:p>
    <w:p>
      <w:pPr>
        <w:pStyle w:val="28"/>
        <w:pageBreakBefore w:val="0"/>
        <w:kinsoku/>
        <w:bidi w:val="0"/>
        <w:spacing w:line="360" w:lineRule="auto"/>
        <w:textAlignment w:val="auto"/>
        <w:rPr>
          <w:rFonts w:eastAsiaTheme="minorEastAsia" w:cstheme="minorBidi"/>
          <w:smallCaps w:val="0"/>
          <w:sz w:val="21"/>
          <w:szCs w:val="22"/>
        </w:rPr>
      </w:pPr>
      <w:r>
        <w:fldChar w:fldCharType="begin"/>
      </w:r>
      <w:r>
        <w:instrText xml:space="preserve"> HYPERLINK \l "_Toc437271325" </w:instrText>
      </w:r>
      <w:r>
        <w:fldChar w:fldCharType="separate"/>
      </w:r>
      <w:r>
        <w:rPr>
          <w:rStyle w:val="39"/>
          <w:rFonts w:hint="eastAsia"/>
        </w:rPr>
        <w:t>十</w:t>
      </w:r>
      <w:r>
        <w:rPr>
          <w:rStyle w:val="39"/>
          <w:rFonts w:hint="eastAsia"/>
          <w:lang w:val="en-US" w:eastAsia="zh-CN"/>
        </w:rPr>
        <w:t>五</w:t>
      </w:r>
      <w:r>
        <w:rPr>
          <w:rStyle w:val="39"/>
          <w:rFonts w:hint="eastAsia"/>
        </w:rPr>
        <w:t>、其他材料</w:t>
      </w:r>
      <w:r>
        <w:tab/>
      </w:r>
      <w:r>
        <w:fldChar w:fldCharType="end"/>
      </w:r>
      <w:r>
        <w:rPr>
          <w:rFonts w:hint="eastAsia"/>
          <w:lang w:val="en-US" w:eastAsia="zh-CN"/>
        </w:rPr>
        <w:t>86</w:t>
      </w:r>
    </w:p>
    <w:p>
      <w:pPr>
        <w:pStyle w:val="25"/>
        <w:pageBreakBefore w:val="0"/>
        <w:kinsoku/>
        <w:bidi w:val="0"/>
        <w:spacing w:line="360" w:lineRule="auto"/>
        <w:textAlignment w:val="auto"/>
        <w:rPr>
          <w:rFonts w:hint="eastAsia" w:eastAsia="宋体" w:asciiTheme="minorHAnsi" w:hAnsiTheme="minorHAnsi" w:cstheme="minorHAnsi"/>
          <w:b w:val="0"/>
          <w:bCs w:val="0"/>
          <w:caps w:val="0"/>
          <w:smallCaps/>
          <w:kern w:val="2"/>
          <w:sz w:val="20"/>
          <w:szCs w:val="20"/>
          <w:lang w:val="en-US" w:eastAsia="zh-CN" w:bidi="ar-SA"/>
        </w:rPr>
      </w:pPr>
      <w:r>
        <w:fldChar w:fldCharType="begin"/>
      </w:r>
      <w:r>
        <w:instrText xml:space="preserve"> HYPERLINK \l "_Toc437271326" </w:instrText>
      </w:r>
      <w:r>
        <w:fldChar w:fldCharType="separate"/>
      </w:r>
      <w:r>
        <w:rPr>
          <w:rStyle w:val="39"/>
          <w:rFonts w:hint="eastAsia"/>
        </w:rPr>
        <w:t>第二卷</w:t>
      </w:r>
      <w:r>
        <w:rPr>
          <w:rStyle w:val="39"/>
        </w:rPr>
        <w:t xml:space="preserve">  </w:t>
      </w:r>
      <w:r>
        <w:rPr>
          <w:rStyle w:val="39"/>
          <w:rFonts w:hint="eastAsia"/>
        </w:rPr>
        <w:t>《</w:t>
      </w:r>
      <w:r>
        <w:rPr>
          <w:rStyle w:val="39"/>
        </w:rPr>
        <w:t>PPP</w:t>
      </w:r>
      <w:r>
        <w:rPr>
          <w:rStyle w:val="39"/>
          <w:rFonts w:hint="eastAsia"/>
          <w:lang w:val="en-US" w:eastAsia="zh-CN"/>
        </w:rPr>
        <w:t>项目合同</w:t>
      </w:r>
      <w:r>
        <w:rPr>
          <w:rStyle w:val="39"/>
          <w:rFonts w:hint="eastAsia"/>
        </w:rPr>
        <w:t>》</w:t>
      </w:r>
      <w:r>
        <w:rPr>
          <w:rStyle w:val="39"/>
          <w:rFonts w:hint="eastAsia"/>
          <w:lang w:eastAsia="zh-CN"/>
        </w:rPr>
        <w:t>、</w:t>
      </w:r>
      <w:r>
        <w:fldChar w:fldCharType="begin"/>
      </w:r>
      <w:r>
        <w:instrText xml:space="preserve"> HYPERLINK \l "_Toc437271327" </w:instrText>
      </w:r>
      <w:r>
        <w:fldChar w:fldCharType="separate"/>
      </w:r>
      <w:r>
        <w:rPr>
          <w:rStyle w:val="39"/>
          <w:rFonts w:hint="eastAsia"/>
        </w:rPr>
        <w:t>《项目公司股东协议》</w:t>
      </w:r>
      <w:r>
        <w:rPr>
          <w:rStyle w:val="39"/>
          <w:rFonts w:hint="eastAsia"/>
          <w:lang w:eastAsia="zh-CN"/>
        </w:rPr>
        <w:t>、</w:t>
      </w:r>
      <w:r>
        <w:rPr>
          <w:rStyle w:val="39"/>
          <w:rFonts w:hint="eastAsia"/>
        </w:rPr>
        <w:t>《项目公司</w:t>
      </w:r>
      <w:r>
        <w:rPr>
          <w:rStyle w:val="39"/>
          <w:rFonts w:hint="eastAsia"/>
          <w:lang w:val="en-US" w:eastAsia="zh-CN"/>
        </w:rPr>
        <w:t>投资</w:t>
      </w:r>
      <w:r>
        <w:rPr>
          <w:rStyle w:val="39"/>
          <w:rFonts w:hint="eastAsia"/>
        </w:rPr>
        <w:t>协议》</w:t>
      </w:r>
      <w:r>
        <w:rPr>
          <w:rStyle w:val="39"/>
          <w:rFonts w:hint="eastAsia"/>
          <w:lang w:eastAsia="zh-CN"/>
        </w:rPr>
        <w:t>、</w:t>
      </w:r>
      <w:r>
        <w:rPr>
          <w:rStyle w:val="39"/>
          <w:rFonts w:hint="eastAsia"/>
        </w:rPr>
        <w:t>《项目公司章程》</w:t>
      </w:r>
      <w:r>
        <w:fldChar w:fldCharType="end"/>
      </w:r>
      <w:r>
        <w:rPr>
          <w:rFonts w:hint="eastAsia"/>
          <w:b w:val="0"/>
          <w:bCs w:val="0"/>
          <w:lang w:val="en-US" w:eastAsia="zh-CN"/>
        </w:rPr>
        <w:t xml:space="preserve">............................................................................................. </w:t>
      </w:r>
      <w:r>
        <w:fldChar w:fldCharType="end"/>
      </w:r>
      <w:r>
        <w:rPr>
          <w:rFonts w:hint="eastAsia" w:eastAsia="宋体" w:asciiTheme="minorHAnsi" w:hAnsiTheme="minorHAnsi" w:cstheme="minorHAnsi"/>
          <w:b w:val="0"/>
          <w:bCs w:val="0"/>
          <w:caps w:val="0"/>
          <w:smallCaps/>
          <w:kern w:val="2"/>
          <w:sz w:val="20"/>
          <w:szCs w:val="20"/>
          <w:lang w:val="en-US" w:eastAsia="zh-CN" w:bidi="ar-SA"/>
        </w:rPr>
        <w:t>87</w:t>
      </w:r>
    </w:p>
    <w:p>
      <w:pPr>
        <w:pageBreakBefore w:val="0"/>
        <w:tabs>
          <w:tab w:val="left" w:pos="280"/>
        </w:tabs>
        <w:kinsoku/>
        <w:bidi w:val="0"/>
        <w:spacing w:line="360" w:lineRule="auto"/>
        <w:ind w:firstLine="0" w:firstLineChars="0"/>
        <w:jc w:val="center"/>
        <w:textAlignment w:val="auto"/>
        <w:rPr>
          <w:rFonts w:cs="Arial"/>
          <w:szCs w:val="28"/>
        </w:rPr>
        <w:sectPr>
          <w:headerReference r:id="rId4" w:type="first"/>
          <w:footerReference r:id="rId6" w:type="first"/>
          <w:headerReference r:id="rId3" w:type="default"/>
          <w:footerReference r:id="rId5" w:type="default"/>
          <w:pgSz w:w="11906" w:h="16838"/>
          <w:pgMar w:top="1588" w:right="1588" w:bottom="1304" w:left="1588" w:header="1134" w:footer="737" w:gutter="0"/>
          <w:pgNumType w:fmt="upperRoman" w:start="1"/>
          <w:cols w:space="425" w:num="1"/>
          <w:docGrid w:type="linesAndChars" w:linePitch="312" w:charSpace="0"/>
        </w:sectPr>
      </w:pPr>
      <w:r>
        <w:rPr>
          <w:rFonts w:cs="Arial"/>
          <w:b/>
          <w:bCs/>
          <w:caps/>
          <w:szCs w:val="28"/>
        </w:rPr>
        <w:fldChar w:fldCharType="end"/>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Style w:val="7"/>
        <w:pageBreakBefore w:val="0"/>
        <w:numPr>
          <w:ilvl w:val="0"/>
          <w:numId w:val="0"/>
        </w:numPr>
        <w:kinsoku/>
        <w:bidi w:val="0"/>
        <w:spacing w:line="360" w:lineRule="auto"/>
        <w:ind w:left="432"/>
        <w:textAlignment w:val="auto"/>
      </w:pPr>
      <w:bookmarkStart w:id="2" w:name="_Toc437271228"/>
      <w:r>
        <w:rPr>
          <w:rFonts w:hint="eastAsia"/>
        </w:rPr>
        <w:t>第一卷  招标文件</w:t>
      </w:r>
      <w:bookmarkEnd w:id="2"/>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Style w:val="2"/>
      </w:pPr>
    </w:p>
    <w:p>
      <w:pPr>
        <w:pStyle w:val="5"/>
      </w:pPr>
    </w:p>
    <w:p>
      <w:pPr>
        <w:pStyle w:val="7"/>
        <w:pageBreakBefore w:val="0"/>
        <w:kinsoku/>
        <w:bidi w:val="0"/>
        <w:spacing w:line="360" w:lineRule="auto"/>
        <w:textAlignment w:val="auto"/>
      </w:pPr>
      <w:bookmarkStart w:id="3" w:name="_Toc437271229"/>
      <w:r>
        <w:rPr>
          <w:rFonts w:hint="eastAsia"/>
        </w:rPr>
        <w:t>采购邀请</w:t>
      </w:r>
      <w:bookmarkEnd w:id="3"/>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keepNext w:val="0"/>
        <w:keepLines w:val="0"/>
        <w:pageBreakBefore w:val="0"/>
        <w:widowControl w:val="0"/>
        <w:kinsoku/>
        <w:wordWrap/>
        <w:overflowPunct/>
        <w:topLinePunct w:val="0"/>
        <w:bidi w:val="0"/>
        <w:snapToGrid/>
        <w:spacing w:line="360" w:lineRule="auto"/>
        <w:ind w:left="0" w:leftChars="0" w:right="0" w:rightChars="0" w:firstLine="720"/>
        <w:jc w:val="center"/>
        <w:textAlignment w:val="auto"/>
        <w:outlineLvl w:val="9"/>
        <w:rPr>
          <w:rFonts w:hint="eastAsia" w:ascii="新宋体" w:hAnsi="新宋体" w:eastAsia="新宋体"/>
          <w:b/>
          <w:bCs/>
          <w:sz w:val="44"/>
          <w:szCs w:val="44"/>
        </w:rPr>
      </w:pPr>
      <w:r>
        <w:rPr>
          <w:rFonts w:hint="eastAsia" w:ascii="新宋体" w:hAnsi="新宋体" w:eastAsia="新宋体"/>
          <w:b/>
          <w:bCs/>
          <w:sz w:val="44"/>
          <w:szCs w:val="44"/>
        </w:rPr>
        <w:t>采购邀请书</w:t>
      </w:r>
    </w:p>
    <w:p>
      <w:pPr>
        <w:pStyle w:val="2"/>
        <w:rPr>
          <w:sz w:val="24"/>
          <w:szCs w:val="24"/>
        </w:rPr>
      </w:pPr>
    </w:p>
    <w:p>
      <w:pPr>
        <w:pStyle w:val="66"/>
        <w:keepNext w:val="0"/>
        <w:keepLines w:val="0"/>
        <w:pageBreakBefore w:val="0"/>
        <w:widowControl w:val="0"/>
        <w:kinsoku/>
        <w:wordWrap/>
        <w:overflowPunct/>
        <w:topLinePunct w:val="0"/>
        <w:bidi w:val="0"/>
        <w:snapToGrid/>
        <w:spacing w:line="360" w:lineRule="auto"/>
        <w:ind w:left="0" w:leftChars="0" w:right="0" w:rightChars="0" w:firstLine="48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（被邀请单位名称）</w:t>
      </w:r>
    </w:p>
    <w:p>
      <w:pPr>
        <w:pStyle w:val="66"/>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你单位已通过资格预审，现邀请你单位按采购文件规定的内容，参加</w:t>
      </w:r>
      <w:r>
        <w:rPr>
          <w:rFonts w:hint="eastAsia" w:ascii="宋体" w:hAnsi="宋体" w:eastAsia="宋体" w:cs="宋体"/>
          <w:sz w:val="28"/>
          <w:szCs w:val="28"/>
          <w:u w:val="single"/>
        </w:rPr>
        <w:t xml:space="preserve"> 登封市环嵩山旅游公路改建工程PPP项目</w:t>
      </w:r>
      <w:r>
        <w:rPr>
          <w:rFonts w:hint="eastAsia" w:ascii="宋体" w:hAnsi="宋体" w:eastAsia="宋体" w:cs="宋体"/>
          <w:sz w:val="28"/>
          <w:szCs w:val="28"/>
        </w:rPr>
        <w:t>投标。</w:t>
      </w:r>
    </w:p>
    <w:p>
      <w:pPr>
        <w:pStyle w:val="66"/>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1.采购文件的获取</w:t>
      </w:r>
    </w:p>
    <w:p>
      <w:pPr>
        <w:pStyle w:val="66"/>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请于2018年</w:t>
      </w:r>
      <w:r>
        <w:rPr>
          <w:rFonts w:hint="eastAsia" w:hAnsi="宋体" w:cs="宋体"/>
          <w:sz w:val="28"/>
          <w:szCs w:val="28"/>
          <w:lang w:val="en-US" w:eastAsia="zh-CN"/>
        </w:rPr>
        <w:t>4</w:t>
      </w:r>
      <w:r>
        <w:rPr>
          <w:rFonts w:hint="eastAsia" w:ascii="宋体" w:hAnsi="宋体" w:eastAsia="宋体" w:cs="宋体"/>
          <w:sz w:val="28"/>
          <w:szCs w:val="28"/>
        </w:rPr>
        <w:t>月</w:t>
      </w:r>
      <w:r>
        <w:rPr>
          <w:rFonts w:hint="eastAsia" w:hAnsi="宋体" w:cs="宋体"/>
          <w:sz w:val="28"/>
          <w:szCs w:val="28"/>
          <w:lang w:val="en-US" w:eastAsia="zh-CN"/>
        </w:rPr>
        <w:t>24</w:t>
      </w:r>
      <w:r>
        <w:rPr>
          <w:rFonts w:hint="eastAsia" w:ascii="宋体" w:hAnsi="宋体" w:eastAsia="宋体" w:cs="宋体"/>
          <w:sz w:val="28"/>
          <w:szCs w:val="28"/>
        </w:rPr>
        <w:t>日00:00时至2018年</w:t>
      </w:r>
      <w:r>
        <w:rPr>
          <w:rFonts w:hint="eastAsia" w:hAnsi="宋体" w:cs="宋体"/>
          <w:sz w:val="28"/>
          <w:szCs w:val="28"/>
          <w:lang w:val="en-US" w:eastAsia="zh-CN"/>
        </w:rPr>
        <w:t>5</w:t>
      </w:r>
      <w:r>
        <w:rPr>
          <w:rFonts w:hint="eastAsia" w:ascii="宋体" w:hAnsi="宋体" w:eastAsia="宋体" w:cs="宋体"/>
          <w:sz w:val="28"/>
          <w:szCs w:val="28"/>
        </w:rPr>
        <w:t>月</w:t>
      </w:r>
      <w:r>
        <w:rPr>
          <w:rFonts w:hint="eastAsia" w:hAnsi="宋体" w:cs="宋体"/>
          <w:sz w:val="28"/>
          <w:szCs w:val="28"/>
          <w:lang w:val="en-US" w:eastAsia="zh-CN"/>
        </w:rPr>
        <w:t>2</w:t>
      </w:r>
      <w:r>
        <w:rPr>
          <w:rFonts w:hint="eastAsia" w:ascii="宋体" w:hAnsi="宋体" w:eastAsia="宋体" w:cs="宋体"/>
          <w:sz w:val="28"/>
          <w:szCs w:val="28"/>
        </w:rPr>
        <w:t>日23：59时前（北京时间，法定公休日、法定节假日除外），登录“登封市公共资源交易中心网站”下载招标文件，招标文件以“登封市公共资源交易中心网站”的电子文件为准，招标人不再提供纸质招标文件。投标人未按规定在网上下载电子招标文件的，其投标将被拒绝。招标文件每套售价</w:t>
      </w:r>
      <w:r>
        <w:rPr>
          <w:rFonts w:hint="eastAsia" w:hAnsi="宋体" w:cs="宋体"/>
          <w:sz w:val="28"/>
          <w:szCs w:val="28"/>
          <w:lang w:val="en-US" w:eastAsia="zh-CN"/>
        </w:rPr>
        <w:t>5</w:t>
      </w:r>
      <w:r>
        <w:rPr>
          <w:rFonts w:hint="eastAsia" w:ascii="宋体" w:hAnsi="宋体" w:eastAsia="宋体" w:cs="宋体"/>
          <w:sz w:val="28"/>
          <w:szCs w:val="28"/>
        </w:rPr>
        <w:t>00元，在开标截止时间前以现金形式现场缴纳，逾期投标将被拒绝。登封市公共资源交易中心网站：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"http://www.dfggzyjy.com/" </w:instrText>
      </w:r>
      <w:r>
        <w:rPr>
          <w:rFonts w:hint="eastAsia" w:ascii="宋体" w:hAnsi="宋体" w:eastAsia="宋体" w:cs="宋体"/>
          <w:sz w:val="28"/>
          <w:szCs w:val="28"/>
        </w:rPr>
        <w:fldChar w:fldCharType="separate"/>
      </w:r>
      <w:r>
        <w:rPr>
          <w:rFonts w:hint="eastAsia" w:ascii="宋体" w:hAnsi="宋体" w:eastAsia="宋体" w:cs="宋体"/>
          <w:sz w:val="28"/>
          <w:szCs w:val="28"/>
        </w:rPr>
        <w:t>http://www.dfggzyjy.com/</w:t>
      </w:r>
      <w:r>
        <w:rPr>
          <w:rFonts w:hint="eastAsia" w:ascii="宋体" w:hAnsi="宋体" w:eastAsia="宋体" w:cs="宋体"/>
          <w:sz w:val="28"/>
          <w:szCs w:val="28"/>
        </w:rPr>
        <w:fldChar w:fldCharType="end"/>
      </w:r>
    </w:p>
    <w:p>
      <w:pPr>
        <w:pStyle w:val="66"/>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2.投标文件的递交</w:t>
      </w:r>
    </w:p>
    <w:p>
      <w:pPr>
        <w:pStyle w:val="66"/>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2.1投标文件递交的截止时间（投标截止时间，下同）为</w:t>
      </w:r>
      <w:r>
        <w:rPr>
          <w:rFonts w:hint="default" w:ascii="宋体" w:hAnsi="宋体" w:eastAsia="宋体" w:cs="宋体"/>
          <w:sz w:val="28"/>
          <w:szCs w:val="28"/>
          <w:u w:val="single"/>
        </w:rPr>
        <w:t>201</w:t>
      </w:r>
      <w:r>
        <w:rPr>
          <w:rFonts w:hint="eastAsia" w:ascii="宋体" w:hAnsi="宋体" w:eastAsia="宋体" w:cs="宋体"/>
          <w:sz w:val="28"/>
          <w:szCs w:val="28"/>
          <w:u w:val="single"/>
          <w:lang w:val="en-US" w:eastAsia="zh-CN"/>
        </w:rPr>
        <w:t>8</w:t>
      </w:r>
      <w:r>
        <w:rPr>
          <w:rFonts w:hint="default" w:ascii="宋体" w:hAnsi="宋体" w:eastAsia="宋体" w:cs="宋体"/>
          <w:sz w:val="28"/>
          <w:szCs w:val="28"/>
          <w:u w:val="single"/>
        </w:rPr>
        <w:t xml:space="preserve"> </w:t>
      </w:r>
      <w:r>
        <w:rPr>
          <w:rFonts w:hint="eastAsia" w:ascii="宋体" w:hAnsi="宋体" w:eastAsia="宋体" w:cs="宋体"/>
          <w:sz w:val="28"/>
          <w:szCs w:val="28"/>
          <w:u w:val="single"/>
        </w:rPr>
        <w:t>年</w:t>
      </w:r>
      <w:r>
        <w:rPr>
          <w:rFonts w:hint="default"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5 </w:t>
      </w:r>
      <w:r>
        <w:rPr>
          <w:rFonts w:hint="default" w:ascii="宋体" w:hAnsi="宋体" w:eastAsia="宋体" w:cs="宋体"/>
          <w:sz w:val="28"/>
          <w:szCs w:val="28"/>
          <w:u w:val="single"/>
        </w:rPr>
        <w:t xml:space="preserve"> </w:t>
      </w:r>
      <w:r>
        <w:rPr>
          <w:rFonts w:hint="eastAsia" w:ascii="宋体" w:hAnsi="宋体" w:eastAsia="宋体" w:cs="宋体"/>
          <w:sz w:val="28"/>
          <w:szCs w:val="28"/>
          <w:u w:val="single"/>
        </w:rPr>
        <w:t>月</w:t>
      </w:r>
      <w:r>
        <w:rPr>
          <w:rFonts w:hint="default"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14 </w:t>
      </w:r>
      <w:r>
        <w:rPr>
          <w:rFonts w:hint="default" w:ascii="宋体" w:hAnsi="宋体" w:eastAsia="宋体" w:cs="宋体"/>
          <w:sz w:val="28"/>
          <w:szCs w:val="28"/>
          <w:u w:val="single"/>
        </w:rPr>
        <w:t xml:space="preserve"> </w:t>
      </w:r>
      <w:r>
        <w:rPr>
          <w:rFonts w:hint="eastAsia" w:ascii="宋体" w:hAnsi="宋体" w:eastAsia="宋体" w:cs="宋体"/>
          <w:sz w:val="28"/>
          <w:szCs w:val="28"/>
          <w:u w:val="single"/>
        </w:rPr>
        <w:t>日</w:t>
      </w:r>
      <w:r>
        <w:rPr>
          <w:rFonts w:hint="eastAsia" w:ascii="宋体" w:hAnsi="宋体" w:eastAsia="宋体" w:cs="宋体"/>
          <w:sz w:val="28"/>
          <w:szCs w:val="28"/>
          <w:u w:val="single"/>
          <w:lang w:val="en-US" w:eastAsia="zh-CN"/>
        </w:rPr>
        <w:t>下</w:t>
      </w:r>
      <w:r>
        <w:rPr>
          <w:rFonts w:hint="eastAsia" w:ascii="宋体" w:hAnsi="宋体" w:eastAsia="宋体" w:cs="宋体"/>
          <w:sz w:val="28"/>
          <w:szCs w:val="28"/>
          <w:u w:val="single"/>
        </w:rPr>
        <w:t>午</w:t>
      </w:r>
      <w:r>
        <w:rPr>
          <w:rFonts w:hint="default" w:ascii="宋体" w:hAnsi="宋体" w:eastAsia="宋体" w:cs="宋体"/>
          <w:sz w:val="28"/>
          <w:szCs w:val="28"/>
          <w:u w:val="single"/>
        </w:rPr>
        <w:t xml:space="preserve"> </w:t>
      </w:r>
      <w:r>
        <w:rPr>
          <w:rFonts w:hint="eastAsia" w:ascii="宋体" w:hAnsi="宋体" w:eastAsia="宋体" w:cs="宋体"/>
          <w:sz w:val="28"/>
          <w:szCs w:val="28"/>
          <w:u w:val="single"/>
          <w:lang w:val="en-US" w:eastAsia="zh-CN"/>
        </w:rPr>
        <w:t>1</w:t>
      </w:r>
      <w:r>
        <w:rPr>
          <w:rFonts w:hint="eastAsia" w:hAnsi="宋体" w:cs="宋体"/>
          <w:sz w:val="28"/>
          <w:szCs w:val="28"/>
          <w:u w:val="single"/>
          <w:lang w:val="en-US" w:eastAsia="zh-CN"/>
        </w:rPr>
        <w:t>4</w:t>
      </w:r>
      <w:r>
        <w:rPr>
          <w:rFonts w:hint="default" w:ascii="宋体" w:hAnsi="宋体" w:eastAsia="宋体" w:cs="宋体"/>
          <w:sz w:val="28"/>
          <w:szCs w:val="28"/>
          <w:u w:val="single"/>
        </w:rPr>
        <w:t xml:space="preserve"> </w:t>
      </w:r>
      <w:r>
        <w:rPr>
          <w:rFonts w:hint="eastAsia" w:ascii="宋体" w:hAnsi="宋体" w:eastAsia="宋体" w:cs="宋体"/>
          <w:sz w:val="28"/>
          <w:szCs w:val="28"/>
          <w:u w:val="single"/>
        </w:rPr>
        <w:t>时</w:t>
      </w:r>
      <w:r>
        <w:rPr>
          <w:rFonts w:hint="default" w:ascii="宋体" w:hAnsi="宋体" w:eastAsia="宋体" w:cs="宋体"/>
          <w:sz w:val="28"/>
          <w:szCs w:val="28"/>
          <w:u w:val="single"/>
        </w:rPr>
        <w:t xml:space="preserve"> </w:t>
      </w:r>
      <w:r>
        <w:rPr>
          <w:rFonts w:hint="eastAsia" w:ascii="宋体" w:hAnsi="宋体" w:eastAsia="宋体" w:cs="宋体"/>
          <w:sz w:val="28"/>
          <w:szCs w:val="28"/>
          <w:u w:val="single"/>
          <w:lang w:val="en-US" w:eastAsia="zh-CN"/>
        </w:rPr>
        <w:t>0</w:t>
      </w:r>
      <w:r>
        <w:rPr>
          <w:rFonts w:hint="default" w:ascii="宋体" w:hAnsi="宋体" w:eastAsia="宋体" w:cs="宋体"/>
          <w:sz w:val="28"/>
          <w:szCs w:val="28"/>
          <w:u w:val="single"/>
        </w:rPr>
        <w:t xml:space="preserve">0 </w:t>
      </w:r>
      <w:r>
        <w:rPr>
          <w:rFonts w:hint="eastAsia" w:ascii="宋体" w:hAnsi="宋体" w:eastAsia="宋体" w:cs="宋体"/>
          <w:sz w:val="28"/>
          <w:szCs w:val="28"/>
          <w:u w:val="single"/>
        </w:rPr>
        <w:t>分</w:t>
      </w:r>
    </w:p>
    <w:p>
      <w:pPr>
        <w:pStyle w:val="66"/>
        <w:keepNext w:val="0"/>
        <w:keepLines w:val="0"/>
        <w:pageBreakBefore w:val="0"/>
        <w:widowControl w:val="0"/>
        <w:kinsoku/>
        <w:wordWrap/>
        <w:overflowPunct/>
        <w:topLinePunct w:val="0"/>
        <w:bidi w:val="0"/>
        <w:snapToGrid/>
        <w:spacing w:line="360" w:lineRule="auto"/>
        <w:ind w:left="0" w:leftChars="0" w:right="0" w:rightChars="0" w:firstLine="480"/>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2.2投标文件递交的地点为</w:t>
      </w:r>
      <w:r>
        <w:rPr>
          <w:rFonts w:hint="eastAsia" w:ascii="宋体" w:hAnsi="宋体" w:eastAsia="宋体" w:cs="宋体"/>
          <w:sz w:val="28"/>
          <w:szCs w:val="28"/>
          <w:u w:val="single"/>
        </w:rPr>
        <w:t>登封市公共资源交易中心第</w:t>
      </w:r>
      <w:r>
        <w:rPr>
          <w:rFonts w:hint="eastAsia" w:hAnsi="宋体" w:cs="宋体"/>
          <w:sz w:val="28"/>
          <w:szCs w:val="28"/>
          <w:u w:val="single"/>
          <w:lang w:val="en-US" w:eastAsia="zh-CN"/>
        </w:rPr>
        <w:t>1</w:t>
      </w:r>
      <w:r>
        <w:rPr>
          <w:rFonts w:hint="eastAsia" w:ascii="宋体" w:hAnsi="宋体" w:eastAsia="宋体" w:cs="宋体"/>
          <w:sz w:val="28"/>
          <w:szCs w:val="28"/>
          <w:u w:val="single"/>
        </w:rPr>
        <w:t>开标室。</w:t>
      </w:r>
    </w:p>
    <w:p>
      <w:pPr>
        <w:pStyle w:val="66"/>
        <w:keepNext w:val="0"/>
        <w:keepLines w:val="0"/>
        <w:pageBreakBefore w:val="0"/>
        <w:widowControl w:val="0"/>
        <w:kinsoku/>
        <w:wordWrap/>
        <w:overflowPunct/>
        <w:topLinePunct w:val="0"/>
        <w:bidi w:val="0"/>
        <w:snapToGrid/>
        <w:spacing w:line="360" w:lineRule="auto"/>
        <w:ind w:left="0" w:leftChars="0" w:right="0" w:rightChars="0" w:firstLine="480"/>
        <w:textAlignment w:val="auto"/>
        <w:outlineLvl w:val="9"/>
        <w:rPr>
          <w:rFonts w:hint="eastAsia" w:ascii="宋体" w:hAnsi="宋体" w:eastAsia="宋体" w:cs="宋体"/>
          <w:sz w:val="28"/>
          <w:szCs w:val="28"/>
        </w:rPr>
      </w:pPr>
      <w:r>
        <w:rPr>
          <w:rFonts w:hint="eastAsia" w:ascii="宋体" w:hAnsi="宋体" w:eastAsia="宋体" w:cs="宋体"/>
          <w:sz w:val="28"/>
          <w:szCs w:val="28"/>
        </w:rPr>
        <w:t>2.3逾期送达的或者未送达指定地点的投标文件，采购人不予受理。</w:t>
      </w:r>
    </w:p>
    <w:p>
      <w:pPr>
        <w:pStyle w:val="66"/>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3.你单位收到本采购邀请书后，请于</w:t>
      </w:r>
      <w:r>
        <w:rPr>
          <w:rFonts w:hint="eastAsia" w:ascii="宋体" w:hAnsi="宋体" w:eastAsia="宋体" w:cs="宋体"/>
          <w:sz w:val="28"/>
          <w:szCs w:val="28"/>
          <w:u w:val="single"/>
        </w:rPr>
        <w:t>24小时之内</w:t>
      </w:r>
      <w:r>
        <w:rPr>
          <w:rFonts w:hint="eastAsia" w:ascii="宋体" w:hAnsi="宋体" w:eastAsia="宋体" w:cs="宋体"/>
          <w:sz w:val="28"/>
          <w:szCs w:val="28"/>
        </w:rPr>
        <w:t>以电子邮件方式予以确认，电子邮箱地址hnfddfxmb@163.com，并明确是否准备参与投标。</w:t>
      </w:r>
    </w:p>
    <w:p>
      <w:pPr>
        <w:pStyle w:val="66"/>
        <w:keepNext w:val="0"/>
        <w:keepLines w:val="0"/>
        <w:pageBreakBefore w:val="0"/>
        <w:widowControl w:val="0"/>
        <w:kinsoku/>
        <w:wordWrap/>
        <w:overflowPunct/>
        <w:topLinePunct w:val="0"/>
        <w:bidi w:val="0"/>
        <w:snapToGrid/>
        <w:spacing w:line="360" w:lineRule="auto"/>
        <w:ind w:left="6160" w:leftChars="0" w:right="0" w:rightChars="0" w:hanging="6160" w:hangingChars="2200"/>
        <w:jc w:val="both"/>
        <w:textAlignment w:val="auto"/>
        <w:outlineLvl w:val="9"/>
        <w:rPr>
          <w:rFonts w:hint="eastAsia" w:ascii="宋体" w:hAnsi="宋体" w:eastAsia="宋体" w:cs="宋体"/>
          <w:spacing w:val="-11"/>
          <w:sz w:val="28"/>
          <w:szCs w:val="28"/>
          <w:u w:val="single"/>
        </w:rPr>
      </w:pPr>
      <w:r>
        <w:rPr>
          <w:rFonts w:hint="eastAsia" w:ascii="宋体" w:hAnsi="宋体" w:eastAsia="宋体" w:cs="宋体"/>
          <w:sz w:val="28"/>
          <w:szCs w:val="28"/>
        </w:rPr>
        <w:t>采购人：</w:t>
      </w:r>
      <w:r>
        <w:rPr>
          <w:rFonts w:hint="eastAsia" w:ascii="宋体" w:hAnsi="宋体" w:eastAsia="宋体" w:cs="宋体"/>
          <w:sz w:val="28"/>
          <w:szCs w:val="28"/>
          <w:u w:val="single"/>
        </w:rPr>
        <w:t xml:space="preserve"> 登封市交通运输局  </w:t>
      </w:r>
      <w:r>
        <w:rPr>
          <w:rFonts w:hint="eastAsia" w:ascii="宋体" w:hAnsi="宋体" w:eastAsia="宋体" w:cs="宋体"/>
          <w:sz w:val="28"/>
          <w:szCs w:val="28"/>
        </w:rPr>
        <w:t xml:space="preserve">    </w:t>
      </w:r>
      <w:r>
        <w:rPr>
          <w:rFonts w:hint="eastAsia" w:ascii="宋体" w:hAnsi="宋体" w:eastAsia="宋体" w:cs="宋体"/>
          <w:spacing w:val="-11"/>
          <w:sz w:val="28"/>
          <w:szCs w:val="28"/>
        </w:rPr>
        <w:t>采购代理机构：</w:t>
      </w:r>
      <w:r>
        <w:rPr>
          <w:rFonts w:hint="eastAsia" w:ascii="宋体" w:hAnsi="宋体" w:eastAsia="宋体" w:cs="宋体"/>
          <w:spacing w:val="-11"/>
          <w:sz w:val="28"/>
          <w:szCs w:val="28"/>
          <w:u w:val="single"/>
        </w:rPr>
        <w:t>河南方大建设工程管理股份有限公司</w:t>
      </w:r>
    </w:p>
    <w:p>
      <w:pPr>
        <w:pStyle w:val="66"/>
        <w:keepNext w:val="0"/>
        <w:keepLines w:val="0"/>
        <w:pageBreakBefore w:val="0"/>
        <w:widowControl w:val="0"/>
        <w:kinsoku/>
        <w:wordWrap/>
        <w:overflowPunct/>
        <w:topLinePunct w:val="0"/>
        <w:bidi w:val="0"/>
        <w:snapToGrid/>
        <w:spacing w:line="360" w:lineRule="auto"/>
        <w:ind w:left="5600" w:leftChars="0" w:right="0" w:rightChars="0" w:hanging="5600" w:hangingChars="20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登封市嵩阳路中段 </w:t>
      </w:r>
      <w:r>
        <w:rPr>
          <w:rFonts w:hint="eastAsia" w:ascii="宋体" w:hAnsi="宋体" w:eastAsia="宋体" w:cs="宋体"/>
          <w:sz w:val="28"/>
          <w:szCs w:val="28"/>
        </w:rPr>
        <w:t xml:space="preserve">      地  址：</w:t>
      </w:r>
      <w:r>
        <w:rPr>
          <w:rFonts w:hint="eastAsia" w:ascii="宋体" w:hAnsi="宋体" w:eastAsia="宋体" w:cs="宋体"/>
          <w:sz w:val="28"/>
          <w:szCs w:val="28"/>
          <w:u w:val="single"/>
        </w:rPr>
        <w:t xml:space="preserve"> 登封市</w:t>
      </w:r>
      <w:r>
        <w:rPr>
          <w:rFonts w:hint="eastAsia" w:ascii="宋体" w:hAnsi="宋体" w:eastAsia="宋体" w:cs="宋体"/>
          <w:sz w:val="28"/>
          <w:szCs w:val="28"/>
          <w:u w:val="single"/>
          <w:lang w:val="en-US" w:eastAsia="zh-CN"/>
        </w:rPr>
        <w:t>颍</w:t>
      </w:r>
      <w:r>
        <w:rPr>
          <w:rFonts w:hint="eastAsia" w:ascii="宋体" w:hAnsi="宋体" w:eastAsia="宋体" w:cs="宋体"/>
          <w:sz w:val="28"/>
          <w:szCs w:val="28"/>
          <w:u w:val="single"/>
          <w:lang w:eastAsia="zh-CN"/>
        </w:rPr>
        <w:t>河</w:t>
      </w:r>
      <w:r>
        <w:rPr>
          <w:rFonts w:hint="eastAsia" w:ascii="宋体" w:hAnsi="宋体" w:eastAsia="宋体" w:cs="宋体"/>
          <w:sz w:val="28"/>
          <w:szCs w:val="28"/>
          <w:u w:val="single"/>
          <w:lang w:val="en-US" w:eastAsia="zh-CN"/>
        </w:rPr>
        <w:t>路</w:t>
      </w:r>
      <w:r>
        <w:rPr>
          <w:rFonts w:hint="eastAsia" w:ascii="宋体" w:hAnsi="宋体" w:eastAsia="宋体" w:cs="宋体"/>
          <w:sz w:val="28"/>
          <w:szCs w:val="28"/>
          <w:u w:val="single"/>
        </w:rPr>
        <w:t xml:space="preserve">与嵩山路交汇处东50米  </w:t>
      </w:r>
    </w:p>
    <w:p>
      <w:pPr>
        <w:pStyle w:val="66"/>
        <w:keepNext w:val="0"/>
        <w:keepLines w:val="0"/>
        <w:pageBreakBefore w:val="0"/>
        <w:widowControl w:val="0"/>
        <w:kinsoku/>
        <w:wordWrap/>
        <w:overflowPunct/>
        <w:topLinePunct w:val="0"/>
        <w:bidi w:val="0"/>
        <w:snapToGrid/>
        <w:spacing w:line="36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邮  编：</w:t>
      </w:r>
      <w:r>
        <w:rPr>
          <w:rFonts w:hint="eastAsia" w:ascii="宋体" w:hAnsi="宋体" w:eastAsia="宋体" w:cs="宋体"/>
          <w:sz w:val="28"/>
          <w:szCs w:val="28"/>
          <w:u w:val="single"/>
        </w:rPr>
        <w:t xml:space="preserve">    452470       </w:t>
      </w:r>
      <w:r>
        <w:rPr>
          <w:rFonts w:hint="eastAsia" w:ascii="宋体" w:hAnsi="宋体" w:eastAsia="宋体" w:cs="宋体"/>
          <w:sz w:val="28"/>
          <w:szCs w:val="28"/>
        </w:rPr>
        <w:t xml:space="preserve">      邮  编：</w:t>
      </w:r>
      <w:r>
        <w:rPr>
          <w:rFonts w:hint="eastAsia" w:ascii="宋体" w:hAnsi="宋体" w:eastAsia="宋体" w:cs="宋体"/>
          <w:sz w:val="28"/>
          <w:szCs w:val="28"/>
          <w:u w:val="single"/>
        </w:rPr>
        <w:t xml:space="preserve">      452470         </w:t>
      </w:r>
    </w:p>
    <w:p>
      <w:pPr>
        <w:pStyle w:val="66"/>
        <w:keepNext w:val="0"/>
        <w:keepLines w:val="0"/>
        <w:pageBreakBefore w:val="0"/>
        <w:widowControl w:val="0"/>
        <w:kinsoku/>
        <w:wordWrap/>
        <w:overflowPunct/>
        <w:topLinePunct w:val="0"/>
        <w:bidi w:val="0"/>
        <w:snapToGrid/>
        <w:spacing w:line="360" w:lineRule="auto"/>
        <w:ind w:left="0" w:leftChars="0"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联系人：</w:t>
      </w:r>
      <w:r>
        <w:rPr>
          <w:rFonts w:hint="eastAsia" w:ascii="宋体" w:hAnsi="宋体" w:eastAsia="宋体" w:cs="宋体"/>
          <w:sz w:val="28"/>
          <w:szCs w:val="28"/>
          <w:u w:val="single"/>
        </w:rPr>
        <w:t xml:space="preserve">   赵先生        </w:t>
      </w:r>
      <w:r>
        <w:rPr>
          <w:rFonts w:hint="eastAsia" w:ascii="宋体" w:hAnsi="宋体" w:eastAsia="宋体" w:cs="宋体"/>
          <w:sz w:val="28"/>
          <w:szCs w:val="28"/>
        </w:rPr>
        <w:t xml:space="preserve">      联系人： </w:t>
      </w:r>
      <w:r>
        <w:rPr>
          <w:rFonts w:hint="eastAsia" w:ascii="宋体" w:hAnsi="宋体" w:eastAsia="宋体" w:cs="宋体"/>
          <w:sz w:val="28"/>
          <w:szCs w:val="28"/>
          <w:u w:val="single"/>
        </w:rPr>
        <w:t xml:space="preserve">       吴先生        </w:t>
      </w:r>
    </w:p>
    <w:p>
      <w:pPr>
        <w:pStyle w:val="66"/>
        <w:keepNext w:val="0"/>
        <w:keepLines w:val="0"/>
        <w:pageBreakBefore w:val="0"/>
        <w:widowControl w:val="0"/>
        <w:kinsoku/>
        <w:wordWrap/>
        <w:overflowPunct/>
        <w:topLinePunct w:val="0"/>
        <w:bidi w:val="0"/>
        <w:snapToGrid/>
        <w:spacing w:line="360" w:lineRule="auto"/>
        <w:ind w:left="0" w:leftChars="0"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xml:space="preserve"> 0371-56515295   </w:t>
      </w:r>
      <w:r>
        <w:rPr>
          <w:rFonts w:hint="eastAsia" w:ascii="宋体" w:hAnsi="宋体" w:eastAsia="宋体" w:cs="宋体"/>
          <w:sz w:val="28"/>
          <w:szCs w:val="28"/>
        </w:rPr>
        <w:t xml:space="preserve">      电  话：</w:t>
      </w:r>
      <w:r>
        <w:rPr>
          <w:rFonts w:hint="eastAsia" w:ascii="宋体" w:hAnsi="宋体" w:eastAsia="宋体" w:cs="宋体"/>
          <w:sz w:val="28"/>
          <w:szCs w:val="28"/>
          <w:u w:val="single"/>
        </w:rPr>
        <w:t xml:space="preserve">    0371-62896108    </w:t>
      </w:r>
    </w:p>
    <w:p>
      <w:pPr>
        <w:pStyle w:val="66"/>
        <w:keepNext w:val="0"/>
        <w:keepLines w:val="0"/>
        <w:pageBreakBefore w:val="0"/>
        <w:widowControl w:val="0"/>
        <w:kinsoku/>
        <w:wordWrap/>
        <w:overflowPunct/>
        <w:topLinePunct w:val="0"/>
        <w:bidi w:val="0"/>
        <w:snapToGrid/>
        <w:spacing w:line="36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电子邮件：</w:t>
      </w:r>
      <w:r>
        <w:rPr>
          <w:rFonts w:hint="eastAsia" w:ascii="宋体" w:hAnsi="宋体" w:eastAsia="宋体" w:cs="宋体"/>
          <w:sz w:val="28"/>
          <w:szCs w:val="28"/>
          <w:u w:val="single"/>
        </w:rPr>
        <w:t>13938206536@139.com</w:t>
      </w:r>
      <w:r>
        <w:rPr>
          <w:rFonts w:hint="eastAsia" w:ascii="宋体" w:hAnsi="宋体" w:eastAsia="宋体" w:cs="宋体"/>
          <w:sz w:val="28"/>
          <w:szCs w:val="28"/>
        </w:rPr>
        <w:t xml:space="preserve"> 电子邮件：</w:t>
      </w:r>
      <w:r>
        <w:rPr>
          <w:rFonts w:hint="eastAsia" w:ascii="宋体" w:hAnsi="宋体" w:eastAsia="宋体" w:cs="宋体"/>
          <w:sz w:val="28"/>
          <w:szCs w:val="28"/>
          <w:u w:val="single"/>
        </w:rPr>
        <w:t xml:space="preserve"> hnfddfxmb@163.com</w:t>
      </w:r>
    </w:p>
    <w:p>
      <w:pPr>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p>
    <w:p>
      <w:pPr>
        <w:pStyle w:val="66"/>
        <w:pageBreakBefore w:val="0"/>
        <w:kinsoku/>
        <w:bidi w:val="0"/>
        <w:spacing w:line="360" w:lineRule="auto"/>
        <w:jc w:val="right"/>
        <w:textAlignment w:val="auto"/>
        <w:rPr>
          <w:rFonts w:ascii="Times New Roman" w:eastAsia="新宋体" w:cs="Times New Roman"/>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2018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月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ascii="Times New Roman" w:eastAsia="新宋体" w:cs="Times New Roman"/>
        </w:rPr>
        <w:t xml:space="preserve"> </w:t>
      </w:r>
    </w:p>
    <w:p>
      <w:pPr>
        <w:pStyle w:val="66"/>
        <w:pageBreakBefore w:val="0"/>
        <w:kinsoku/>
        <w:bidi w:val="0"/>
        <w:spacing w:line="360" w:lineRule="auto"/>
        <w:jc w:val="both"/>
        <w:textAlignment w:val="auto"/>
        <w:rPr>
          <w:rFonts w:ascii="Times New Roman" w:eastAsia="新宋体" w:cs="Times New Roman"/>
        </w:rPr>
      </w:pPr>
    </w:p>
    <w:p>
      <w:pPr>
        <w:pageBreakBefore w:val="0"/>
        <w:widowControl/>
        <w:kinsoku/>
        <w:bidi w:val="0"/>
        <w:spacing w:line="360" w:lineRule="auto"/>
        <w:ind w:firstLine="480"/>
        <w:jc w:val="left"/>
        <w:textAlignment w:val="auto"/>
        <w:rPr>
          <w:rFonts w:ascii="Times New Roman" w:eastAsia="新宋体" w:cs="Times New Roman"/>
        </w:rPr>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Style w:val="2"/>
      </w:pPr>
    </w:p>
    <w:p>
      <w:pPr>
        <w:pStyle w:val="5"/>
      </w:pPr>
    </w:p>
    <w:p>
      <w:pPr>
        <w:pStyle w:val="5"/>
      </w:pPr>
    </w:p>
    <w:p>
      <w:pPr>
        <w:pStyle w:val="5"/>
      </w:pPr>
    </w:p>
    <w:p>
      <w:pPr>
        <w:pageBreakBefore w:val="0"/>
        <w:kinsoku/>
        <w:bidi w:val="0"/>
        <w:spacing w:line="360" w:lineRule="auto"/>
        <w:ind w:firstLine="480"/>
        <w:textAlignment w:val="auto"/>
      </w:pPr>
    </w:p>
    <w:p>
      <w:pPr>
        <w:pStyle w:val="7"/>
        <w:pageBreakBefore w:val="0"/>
        <w:kinsoku/>
        <w:bidi w:val="0"/>
        <w:spacing w:line="360" w:lineRule="auto"/>
        <w:textAlignment w:val="auto"/>
      </w:pPr>
      <w:bookmarkStart w:id="4" w:name="_Toc437271230"/>
      <w:r>
        <w:rPr>
          <w:rFonts w:hint="eastAsia"/>
        </w:rPr>
        <w:t>投标人须知</w:t>
      </w:r>
      <w:bookmarkEnd w:id="4"/>
    </w:p>
    <w:p>
      <w:pPr>
        <w:pStyle w:val="58"/>
        <w:pageBreakBefore w:val="0"/>
        <w:numPr>
          <w:ilvl w:val="0"/>
          <w:numId w:val="0"/>
        </w:numPr>
        <w:kinsoku/>
        <w:bidi w:val="0"/>
        <w:spacing w:line="360" w:lineRule="auto"/>
        <w:ind w:left="576"/>
        <w:jc w:val="center"/>
        <w:textAlignment w:val="auto"/>
      </w:pPr>
      <w:bookmarkStart w:id="5" w:name="_Toc437271231"/>
      <w:r>
        <w:rPr>
          <w:rFonts w:hint="eastAsia"/>
        </w:rPr>
        <w:t>投标人须知前附表</w:t>
      </w:r>
      <w:bookmarkEnd w:id="5"/>
    </w:p>
    <w:tbl>
      <w:tblPr>
        <w:tblStyle w:val="44"/>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100"/>
        <w:gridCol w:w="18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blHeader/>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条款号</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条  款  名  称</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1.</w:t>
            </w:r>
            <w:r>
              <w:rPr>
                <w:rFonts w:hint="default" w:ascii="Arial Unicode MS" w:hAnsi="Arial Unicode MS" w:eastAsia="Arial Unicode MS" w:cs="Arial Unicode MS"/>
                <w:color w:val="000000"/>
                <w:sz w:val="21"/>
                <w:szCs w:val="21"/>
              </w:rPr>
              <w:t>3</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采购人</w:t>
            </w:r>
          </w:p>
        </w:tc>
        <w:tc>
          <w:tcPr>
            <w:tcW w:w="5590" w:type="dxa"/>
            <w:vAlign w:val="center"/>
          </w:tcPr>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b/>
                <w:sz w:val="21"/>
                <w:szCs w:val="21"/>
              </w:rPr>
            </w:pPr>
            <w:r>
              <w:rPr>
                <w:rFonts w:hint="eastAsia" w:ascii="Times New Roman" w:cs="Times New Roman"/>
                <w:b/>
                <w:sz w:val="21"/>
                <w:szCs w:val="21"/>
              </w:rPr>
              <w:t>采购人</w:t>
            </w:r>
            <w:r>
              <w:rPr>
                <w:rFonts w:hint="eastAsia" w:ascii="Times New Roman" w:cs="Times New Roman"/>
                <w:b/>
                <w:sz w:val="21"/>
                <w:szCs w:val="21"/>
                <w:lang w:val="en-US" w:eastAsia="zh-CN"/>
              </w:rPr>
              <w:t>:</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hAnsi="宋体" w:cs="Times New Roman"/>
                <w:sz w:val="21"/>
                <w:szCs w:val="21"/>
              </w:rPr>
            </w:pPr>
            <w:r>
              <w:rPr>
                <w:rFonts w:hint="default" w:hAnsi="宋体" w:cs="Times New Roman"/>
                <w:sz w:val="21"/>
                <w:szCs w:val="21"/>
              </w:rPr>
              <w:t xml:space="preserve">名 </w:t>
            </w:r>
            <w:r>
              <w:rPr>
                <w:rFonts w:hint="eastAsia" w:hAnsi="宋体" w:cs="Times New Roman"/>
                <w:sz w:val="21"/>
                <w:szCs w:val="21"/>
              </w:rPr>
              <w:t xml:space="preserve"> </w:t>
            </w:r>
            <w:r>
              <w:rPr>
                <w:rFonts w:hint="default" w:hAnsi="宋体" w:cs="Times New Roman"/>
                <w:sz w:val="21"/>
                <w:szCs w:val="21"/>
              </w:rPr>
              <w:t xml:space="preserve">  称：</w:t>
            </w:r>
            <w:r>
              <w:rPr>
                <w:rFonts w:hint="eastAsia" w:hAnsi="宋体" w:cs="Times New Roman"/>
                <w:sz w:val="21"/>
                <w:szCs w:val="21"/>
                <w:lang w:eastAsia="zh-CN"/>
              </w:rPr>
              <w:t>登封市交通运输局</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hAnsi="宋体" w:cs="Times New Roman"/>
                <w:sz w:val="21"/>
                <w:szCs w:val="21"/>
              </w:rPr>
            </w:pPr>
            <w:r>
              <w:rPr>
                <w:rFonts w:hint="default" w:hAnsi="宋体" w:cs="Times New Roman"/>
                <w:sz w:val="21"/>
                <w:szCs w:val="21"/>
              </w:rPr>
              <w:t>地    址：</w:t>
            </w:r>
            <w:r>
              <w:rPr>
                <w:rFonts w:hint="eastAsia" w:hAnsi="宋体" w:cs="Times New Roman"/>
                <w:sz w:val="21"/>
                <w:szCs w:val="21"/>
                <w:lang w:eastAsia="zh-CN"/>
              </w:rPr>
              <w:t>登封市嵩阳路中段</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hAnsi="宋体" w:cs="Times New Roman"/>
                <w:sz w:val="21"/>
                <w:szCs w:val="21"/>
              </w:rPr>
            </w:pPr>
            <w:r>
              <w:rPr>
                <w:rFonts w:hint="default" w:hAnsi="宋体" w:cs="Times New Roman"/>
                <w:sz w:val="21"/>
                <w:szCs w:val="21"/>
              </w:rPr>
              <w:t>联 系 人：</w:t>
            </w:r>
            <w:r>
              <w:rPr>
                <w:rFonts w:hint="eastAsia" w:hAnsi="宋体" w:cs="Times New Roman"/>
                <w:sz w:val="21"/>
                <w:szCs w:val="21"/>
                <w:lang w:eastAsia="zh-CN"/>
              </w:rPr>
              <w:t>赵先生</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hAnsi="宋体" w:cs="Times New Roman"/>
                <w:sz w:val="21"/>
                <w:szCs w:val="21"/>
              </w:rPr>
            </w:pPr>
            <w:r>
              <w:rPr>
                <w:rFonts w:hint="default" w:hAnsi="宋体" w:cs="Times New Roman"/>
                <w:sz w:val="21"/>
                <w:szCs w:val="21"/>
              </w:rPr>
              <w:t>联系电话：</w:t>
            </w:r>
            <w:r>
              <w:rPr>
                <w:rFonts w:hint="eastAsia" w:hAnsi="宋体"/>
                <w:sz w:val="21"/>
                <w:szCs w:val="21"/>
                <w:lang w:eastAsia="zh-CN" w:bidi="ar"/>
              </w:rPr>
              <w:t>0371-56515295</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sz w:val="21"/>
                <w:szCs w:val="21"/>
              </w:rPr>
            </w:pPr>
            <w:r>
              <w:rPr>
                <w:rFonts w:hint="default" w:ascii="宋体" w:hAnsi="宋体"/>
                <w:sz w:val="21"/>
                <w:szCs w:val="21"/>
              </w:rPr>
              <w:t>电子邮件：</w:t>
            </w:r>
            <w:r>
              <w:rPr>
                <w:rFonts w:hint="eastAsia" w:ascii="宋体" w:hAnsi="宋体"/>
                <w:sz w:val="21"/>
                <w:szCs w:val="21"/>
                <w:lang w:eastAsia="zh-CN"/>
              </w:rPr>
              <w:t>13938206536@139.com</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b/>
                <w:sz w:val="21"/>
                <w:szCs w:val="21"/>
              </w:rPr>
            </w:pPr>
            <w:r>
              <w:rPr>
                <w:rFonts w:hint="eastAsia" w:ascii="Times New Roman" w:cs="Times New Roman"/>
                <w:b/>
                <w:sz w:val="21"/>
                <w:szCs w:val="21"/>
              </w:rPr>
              <w:t>采购代理机构</w:t>
            </w:r>
            <w:r>
              <w:rPr>
                <w:rFonts w:hint="eastAsia" w:ascii="Times New Roman" w:cs="Times New Roman"/>
                <w:b/>
                <w:sz w:val="21"/>
                <w:szCs w:val="21"/>
                <w:lang w:val="en-US" w:eastAsia="zh-CN"/>
              </w:rPr>
              <w:t>:</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hAnsi="宋体" w:cs="Times New Roman"/>
                <w:sz w:val="21"/>
                <w:szCs w:val="21"/>
              </w:rPr>
            </w:pPr>
            <w:r>
              <w:rPr>
                <w:rFonts w:hint="eastAsia" w:hAnsi="宋体" w:cs="Times New Roman"/>
                <w:sz w:val="21"/>
                <w:szCs w:val="21"/>
              </w:rPr>
              <w:t>名   称：</w:t>
            </w:r>
            <w:r>
              <w:rPr>
                <w:rFonts w:hint="eastAsia" w:hAnsi="宋体" w:cs="Times New Roman"/>
                <w:sz w:val="21"/>
                <w:szCs w:val="21"/>
                <w:lang w:eastAsia="zh-CN"/>
              </w:rPr>
              <w:t>河南方大建设工程管理股份有限公司</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hAnsi="宋体" w:cs="Times New Roman"/>
                <w:sz w:val="21"/>
                <w:szCs w:val="21"/>
              </w:rPr>
            </w:pPr>
            <w:r>
              <w:rPr>
                <w:rFonts w:hint="eastAsia" w:hAnsi="宋体" w:cs="Times New Roman"/>
                <w:sz w:val="21"/>
                <w:szCs w:val="21"/>
              </w:rPr>
              <w:t>地   址：</w:t>
            </w:r>
            <w:r>
              <w:rPr>
                <w:rFonts w:hint="eastAsia" w:hAnsi="宋体" w:cs="Times New Roman"/>
                <w:sz w:val="21"/>
                <w:szCs w:val="21"/>
                <w:lang w:eastAsia="zh-CN"/>
              </w:rPr>
              <w:t xml:space="preserve"> 登封市</w:t>
            </w:r>
            <w:r>
              <w:rPr>
                <w:rFonts w:hint="eastAsia" w:hAnsi="宋体" w:cs="Times New Roman"/>
                <w:sz w:val="21"/>
                <w:szCs w:val="21"/>
                <w:lang w:val="en-US" w:eastAsia="zh-CN"/>
              </w:rPr>
              <w:t>颍</w:t>
            </w:r>
            <w:r>
              <w:rPr>
                <w:rFonts w:hint="eastAsia" w:hAnsi="宋体" w:cs="Times New Roman"/>
                <w:sz w:val="21"/>
                <w:szCs w:val="21"/>
                <w:lang w:eastAsia="zh-CN"/>
              </w:rPr>
              <w:t>河路与嵩山路交汇处东50米</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hAnsi="宋体" w:cs="Times New Roman"/>
                <w:sz w:val="21"/>
                <w:szCs w:val="21"/>
              </w:rPr>
            </w:pPr>
            <w:r>
              <w:rPr>
                <w:rFonts w:hint="default" w:hAnsi="宋体" w:cs="Times New Roman"/>
                <w:sz w:val="21"/>
                <w:szCs w:val="21"/>
              </w:rPr>
              <w:t>联 系 人</w:t>
            </w:r>
            <w:r>
              <w:rPr>
                <w:rFonts w:hint="eastAsia" w:hAnsi="宋体" w:cs="Times New Roman"/>
                <w:sz w:val="21"/>
                <w:szCs w:val="21"/>
              </w:rPr>
              <w:t>：</w:t>
            </w:r>
            <w:r>
              <w:rPr>
                <w:rFonts w:hint="eastAsia" w:hAnsi="宋体" w:cs="Times New Roman"/>
                <w:sz w:val="21"/>
                <w:szCs w:val="21"/>
                <w:lang w:eastAsia="zh-CN"/>
              </w:rPr>
              <w:t>吴先生</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hAnsi="宋体" w:cs="Times New Roman"/>
                <w:sz w:val="21"/>
                <w:szCs w:val="21"/>
              </w:rPr>
            </w:pPr>
            <w:r>
              <w:rPr>
                <w:rFonts w:hint="default" w:hAnsi="宋体" w:cs="Times New Roman"/>
                <w:sz w:val="21"/>
                <w:szCs w:val="21"/>
              </w:rPr>
              <w:t>联系电话：</w:t>
            </w:r>
            <w:r>
              <w:rPr>
                <w:rFonts w:hint="eastAsia" w:hAnsi="宋体" w:cs="Times New Roman"/>
                <w:sz w:val="21"/>
                <w:szCs w:val="21"/>
                <w:lang w:eastAsia="zh-CN"/>
              </w:rPr>
              <w:t>0371-62896108</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default" w:ascii="宋体" w:hAnsi="宋体"/>
                <w:sz w:val="21"/>
                <w:szCs w:val="21"/>
              </w:rPr>
              <w:t>电子邮件：</w:t>
            </w:r>
            <w:r>
              <w:rPr>
                <w:rFonts w:hint="eastAsia" w:ascii="宋体" w:hAnsi="宋体"/>
                <w:sz w:val="21"/>
                <w:szCs w:val="21"/>
                <w:lang w:eastAsia="zh-CN"/>
              </w:rPr>
              <w:t>hnfddfxmb@163.com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default"/>
                <w:color w:val="000000"/>
                <w:sz w:val="21"/>
                <w:szCs w:val="21"/>
              </w:rPr>
              <w:t>1.4.1</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lang w:val="en-US" w:eastAsia="zh-CN"/>
              </w:rPr>
              <w:t>申请</w:t>
            </w:r>
            <w:r>
              <w:rPr>
                <w:rFonts w:hint="eastAsia" w:ascii="宋体" w:hAnsi="宋体"/>
                <w:color w:val="000000"/>
                <w:sz w:val="21"/>
                <w:szCs w:val="21"/>
              </w:rPr>
              <w:t>人</w:t>
            </w:r>
            <w:r>
              <w:rPr>
                <w:rFonts w:hint="default" w:ascii="宋体" w:hAnsi="宋体"/>
                <w:color w:val="000000"/>
                <w:sz w:val="21"/>
                <w:szCs w:val="21"/>
              </w:rPr>
              <w:t>资格条件</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1、本项目允许联合体投标。</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2、符合《中华人民共和国政府采购法》第二十二条规定的合格申请人条件。</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2.1中华人民共和国境内的独立法人均可参与本项目；</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2.2本次资格预审要求申请人具备以下要求：</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3、主体要求：</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3.1申请人可以是在中国大陆境内依法成立、并具备承担本项目投融资能力的独立法人实体，也可以是由不同法人实体组成的联合体，联合体内的成员数量不得超过两家；</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3.2不得是登封市人民政府市级融资平台及其他控股国有企业（符合国办发[2015]42号文件规定的除外）。</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4、资质要求：</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申请人须同时具备以下资质，公路工程施工总承包壹级及以上资质、公路养护工程施工从业资质证书二类（乙级）、公路养护工程施工从业资质证书三类（乙级）。</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申请人若为联合体，则联合体成员中的施工企业必须满足上述要求。</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5、业绩要求：</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具有在交通行业投资、建设、运营项目的经验。</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近三年内实施过类似（铁路、公路、市政基础设施项目）PPP项目业绩。</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申请人具有PPP项目业绩的，应提供相应业绩的中标通知书或与相关实施机构签署的合同协议书。</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6、财务要求：</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申请人须具有良好的财务状况、银行资信、以及相应的投融资、偿债能力，近三年财务状况良好，没有处于财产被接管、冻结、破产或其它不良状态、无重大不良资产或不良投资项目；申请人若为联合体，则牵头人需满足上述要求。</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7、 技术能力：</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投标人应具有实施本项目所需的技术能力和管理能力。</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8、商业信誉：</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近三年内无重大违法记录承诺；提供纳税证明（指申请人税务登记证和近半年缴纳增值税、营业税和企业所得税的凭据）、社保缴纳证明（近半年社保缴纳专用收据或社会保险缴纳清单）。</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申请人需提供企业所在地或业务发生地检察机关出具的行贿犯罪档案查询结果告知函（符合豫检会【2015】7号文规定，应当针对投标单位、法定代表人、委托代理人进行行贿犯罪档案查询）；（开具时间须为本公告发出后）。否则其不能通过资格预审。</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申请人应在“信用中国”（http://www.creditchina.gov.cn/）网站中查询“失信被执行人”、“重大税收违法案件当事人名单”；中国政府采购网（www.ccgp.gov.cn）网站中查询“近三年政府采购严重违法失信行为记录名单”，列入失信被执行人、重大税收违法案件当事人名单、近三年政府采购严重违法失信行为记录名单的投标人，不得参与本次政府采购活动。</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采用联合体形式投资的，联合体各成员均应符合上述商业信誉基本要求。</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本次资格预审接受联合体提出资格预审申请，联合体组成应符合国家有关规定。联合体协议书中需说明联合体各方的责任和分工。</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9、联合体申请资格预审的，还应满足下列要求：</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9.1以联合体参加的，应提交联合体协议并注明牵头人及各方拟承担的工作和责任，并承诺一旦成交联合体各方将向采购人承担连带责任；</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9.2以联合体形式参加政府采购活动的，联合体各方不得再单独参加或者与其他申请人另外组成联合体参加本次政府采购活动；</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eastAsia"/>
                <w:sz w:val="21"/>
                <w:szCs w:val="21"/>
                <w:lang w:val="en-US" w:eastAsia="zh-CN"/>
              </w:rPr>
              <w:t>9.3通过资格预审的联合体，不得再变更其组织形式及成员构成。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exac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1.4.3</w:t>
            </w:r>
          </w:p>
        </w:tc>
        <w:tc>
          <w:tcPr>
            <w:tcW w:w="2285" w:type="dxa"/>
            <w:gridSpan w:val="2"/>
            <w:vAlign w:val="center"/>
          </w:tcPr>
          <w:p>
            <w:pPr>
              <w:pStyle w:val="66"/>
              <w:keepNext w:val="0"/>
              <w:keepLines w:val="0"/>
              <w:pageBreakBefore w:val="0"/>
              <w:suppressLineNumbers w:val="0"/>
              <w:kinsoku/>
              <w:bidi w:val="0"/>
              <w:spacing w:before="0" w:beforeAutospacing="0" w:after="0" w:afterAutospacing="0" w:line="240" w:lineRule="auto"/>
              <w:ind w:left="0" w:right="0"/>
              <w:jc w:val="center"/>
              <w:textAlignment w:val="auto"/>
              <w:rPr>
                <w:rFonts w:hint="default" w:hAnsi="宋体" w:cs="Times New Roman"/>
                <w:sz w:val="21"/>
                <w:szCs w:val="21"/>
              </w:rPr>
            </w:pPr>
            <w:r>
              <w:rPr>
                <w:rFonts w:hint="eastAsia" w:hAnsi="宋体" w:cs="Times New Roman"/>
                <w:sz w:val="21"/>
                <w:szCs w:val="21"/>
              </w:rPr>
              <w:t>近年财务状况的年份要求</w:t>
            </w:r>
          </w:p>
        </w:tc>
        <w:tc>
          <w:tcPr>
            <w:tcW w:w="5590" w:type="dxa"/>
            <w:vAlign w:val="center"/>
          </w:tcPr>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hAnsi="宋体" w:cs="Times New Roman"/>
                <w:sz w:val="21"/>
                <w:szCs w:val="21"/>
              </w:rPr>
            </w:pPr>
            <w:r>
              <w:rPr>
                <w:rFonts w:hint="eastAsia" w:ascii="Arial Unicode MS" w:hAnsi="Arial Unicode MS" w:eastAsia="Arial Unicode MS" w:cs="Arial Unicode MS"/>
                <w:sz w:val="21"/>
                <w:szCs w:val="21"/>
              </w:rPr>
              <w:t>20</w:t>
            </w:r>
            <w:r>
              <w:rPr>
                <w:rFonts w:hint="eastAsia" w:ascii="Arial Unicode MS" w:hAnsi="Arial Unicode MS" w:eastAsia="Arial Unicode MS" w:cs="Arial Unicode MS"/>
                <w:sz w:val="21"/>
                <w:szCs w:val="21"/>
                <w:lang w:val="en-US" w:eastAsia="zh-CN"/>
              </w:rPr>
              <w:t>14</w:t>
            </w:r>
            <w:r>
              <w:rPr>
                <w:rFonts w:hint="eastAsia" w:ascii="Arial Unicode MS" w:hAnsi="Arial Unicode MS" w:eastAsia="Arial Unicode MS" w:cs="Arial Unicode MS"/>
                <w:sz w:val="21"/>
                <w:szCs w:val="21"/>
              </w:rPr>
              <w:t>-201</w:t>
            </w:r>
            <w:r>
              <w:rPr>
                <w:rFonts w:hint="eastAsia" w:ascii="Arial Unicode MS" w:hAnsi="Arial Unicode MS" w:eastAsia="Arial Unicode MS" w:cs="Arial Unicode MS"/>
                <w:sz w:val="21"/>
                <w:szCs w:val="21"/>
                <w:lang w:val="en-US" w:eastAsia="zh-CN"/>
              </w:rPr>
              <w:t>6</w:t>
            </w:r>
            <w:r>
              <w:rPr>
                <w:rFonts w:hint="eastAsia" w:hAnsi="宋体" w:cs="Times New Roman"/>
                <w:sz w:val="21"/>
                <w:szCs w:val="21"/>
              </w:rPr>
              <w:t>年度（</w:t>
            </w:r>
            <w:r>
              <w:rPr>
                <w:rFonts w:hint="eastAsia" w:ascii="Arial Unicode MS" w:hAnsi="Arial Unicode MS" w:eastAsia="Arial Unicode MS" w:cs="Arial Unicode MS"/>
                <w:sz w:val="21"/>
                <w:szCs w:val="21"/>
                <w:lang w:val="en-US" w:eastAsia="zh-CN"/>
              </w:rPr>
              <w:t>2014、2015、2016</w:t>
            </w:r>
            <w:r>
              <w:rPr>
                <w:rFonts w:hint="eastAsia" w:hAnsi="宋体" w:cs="Times New Roman"/>
                <w:sz w:val="21"/>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1.4.4</w:t>
            </w:r>
          </w:p>
        </w:tc>
        <w:tc>
          <w:tcPr>
            <w:tcW w:w="2285" w:type="dxa"/>
            <w:gridSpan w:val="2"/>
            <w:vAlign w:val="center"/>
          </w:tcPr>
          <w:p>
            <w:pPr>
              <w:pStyle w:val="66"/>
              <w:keepNext w:val="0"/>
              <w:keepLines w:val="0"/>
              <w:pageBreakBefore w:val="0"/>
              <w:suppressLineNumbers w:val="0"/>
              <w:kinsoku/>
              <w:bidi w:val="0"/>
              <w:snapToGrid w:val="0"/>
              <w:spacing w:before="0" w:beforeAutospacing="0" w:after="0" w:afterAutospacing="0" w:line="240" w:lineRule="auto"/>
              <w:ind w:left="0" w:right="0"/>
              <w:jc w:val="center"/>
              <w:textAlignment w:val="auto"/>
              <w:rPr>
                <w:rFonts w:hint="default" w:hAnsi="宋体" w:cs="Times New Roman"/>
                <w:sz w:val="21"/>
                <w:szCs w:val="21"/>
              </w:rPr>
            </w:pPr>
            <w:r>
              <w:rPr>
                <w:rFonts w:hint="default" w:hAnsi="宋体" w:cs="Times New Roman"/>
                <w:sz w:val="21"/>
                <w:szCs w:val="21"/>
              </w:rPr>
              <w:t>是否接受联合体资格预审申请</w:t>
            </w:r>
          </w:p>
        </w:tc>
        <w:tc>
          <w:tcPr>
            <w:tcW w:w="5590" w:type="dxa"/>
            <w:vAlign w:val="center"/>
          </w:tcPr>
          <w:p>
            <w:pPr>
              <w:pStyle w:val="66"/>
              <w:keepNext w:val="0"/>
              <w:keepLines w:val="0"/>
              <w:pageBreakBefore w:val="0"/>
              <w:suppressLineNumbers w:val="0"/>
              <w:kinsoku/>
              <w:bidi w:val="0"/>
              <w:snapToGrid w:val="0"/>
              <w:spacing w:before="0" w:beforeAutospacing="0" w:after="0" w:afterAutospacing="0" w:line="360" w:lineRule="auto"/>
              <w:ind w:left="0" w:right="0"/>
              <w:jc w:val="both"/>
              <w:textAlignment w:val="auto"/>
              <w:rPr>
                <w:rFonts w:hint="default" w:hAnsi="宋体" w:cs="Times New Roman"/>
                <w:sz w:val="21"/>
                <w:szCs w:val="21"/>
              </w:rPr>
            </w:pPr>
            <w:r>
              <w:rPr>
                <w:rFonts w:hint="default" w:hAnsi="宋体" w:cs="Times New Roman"/>
                <w:sz w:val="21"/>
                <w:szCs w:val="21"/>
              </w:rPr>
              <w:t>接受，联合体成员数量不得超过</w:t>
            </w:r>
            <w:r>
              <w:rPr>
                <w:rFonts w:hint="eastAsia" w:hAnsi="宋体" w:cs="Times New Roman"/>
                <w:sz w:val="21"/>
                <w:szCs w:val="21"/>
              </w:rPr>
              <w:t>两</w:t>
            </w:r>
            <w:r>
              <w:rPr>
                <w:rFonts w:hint="default" w:hAnsi="宋体" w:cs="Times New Roman"/>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exac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1.4.5</w:t>
            </w:r>
          </w:p>
        </w:tc>
        <w:tc>
          <w:tcPr>
            <w:tcW w:w="2285" w:type="dxa"/>
            <w:gridSpan w:val="2"/>
            <w:vAlign w:val="center"/>
          </w:tcPr>
          <w:p>
            <w:pPr>
              <w:pStyle w:val="66"/>
              <w:keepNext w:val="0"/>
              <w:keepLines w:val="0"/>
              <w:pageBreakBefore w:val="0"/>
              <w:suppressLineNumbers w:val="0"/>
              <w:kinsoku/>
              <w:bidi w:val="0"/>
              <w:snapToGrid w:val="0"/>
              <w:spacing w:before="0" w:beforeAutospacing="0" w:after="0" w:afterAutospacing="0" w:line="240" w:lineRule="auto"/>
              <w:ind w:left="0" w:right="0"/>
              <w:jc w:val="center"/>
              <w:textAlignment w:val="auto"/>
              <w:rPr>
                <w:rFonts w:hint="default" w:hAnsi="宋体" w:cs="Times New Roman"/>
                <w:sz w:val="21"/>
                <w:szCs w:val="21"/>
              </w:rPr>
            </w:pPr>
            <w:r>
              <w:rPr>
                <w:rFonts w:hint="eastAsia" w:hAnsi="宋体" w:cs="Times New Roman"/>
                <w:sz w:val="21"/>
                <w:szCs w:val="21"/>
              </w:rPr>
              <w:t>是否</w:t>
            </w:r>
            <w:r>
              <w:rPr>
                <w:rFonts w:hint="default" w:hAnsi="宋体" w:cs="Times New Roman"/>
                <w:sz w:val="21"/>
                <w:szCs w:val="21"/>
              </w:rPr>
              <w:t>允许未参加资格预审的投标人参与竞争并进行资格后审</w:t>
            </w:r>
          </w:p>
        </w:tc>
        <w:tc>
          <w:tcPr>
            <w:tcW w:w="5590" w:type="dxa"/>
            <w:vAlign w:val="center"/>
          </w:tcPr>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hAnsi="宋体" w:cs="Times New Roman"/>
                <w:sz w:val="21"/>
                <w:szCs w:val="21"/>
                <w:highlight w:val="green"/>
              </w:rPr>
            </w:pPr>
            <w:r>
              <w:rPr>
                <w:rFonts w:hint="default" w:ascii="Segoe UI Symbol" w:hAnsi="Segoe UI Symbol" w:cs="Segoe UI Symbol"/>
                <w:sz w:val="21"/>
                <w:szCs w:val="21"/>
              </w:rPr>
              <w:t>☑</w:t>
            </w:r>
            <w:r>
              <w:rPr>
                <w:rFonts w:hint="eastAsia" w:hAnsi="宋体" w:cs="Times New Roman"/>
                <w:sz w:val="21"/>
                <w:szCs w:val="21"/>
              </w:rPr>
              <w:t>否</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sz w:val="21"/>
                <w:szCs w:val="21"/>
              </w:rPr>
            </w:pPr>
            <w:r>
              <w:rPr>
                <w:rFonts w:hint="eastAsia" w:hAnsi="宋体" w:cs="Times New Roman"/>
                <w:sz w:val="21"/>
                <w:szCs w:val="21"/>
              </w:rPr>
              <w:t>□是</w:t>
            </w:r>
            <w:r>
              <w:rPr>
                <w:rFonts w:hint="default" w:hAnsi="宋体" w:cs="Times New Roman"/>
                <w:sz w:val="21"/>
                <w:szCs w:val="21"/>
              </w:rPr>
              <w:t>，按资格预审要求进行资格后审。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exac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1.4.6</w:t>
            </w:r>
          </w:p>
        </w:tc>
        <w:tc>
          <w:tcPr>
            <w:tcW w:w="2285" w:type="dxa"/>
            <w:gridSpan w:val="2"/>
            <w:vAlign w:val="center"/>
          </w:tcPr>
          <w:p>
            <w:pPr>
              <w:keepNext w:val="0"/>
              <w:keepLines w:val="0"/>
              <w:pageBreakBefore w:val="0"/>
              <w:suppressLineNumbers w:val="0"/>
              <w:kinsoku/>
              <w:bidi w:val="0"/>
              <w:spacing w:before="0" w:beforeAutospacing="0" w:after="0" w:afterAutospacing="0" w:line="240" w:lineRule="auto"/>
              <w:ind w:left="0" w:right="0" w:firstLine="0" w:firstLineChars="0"/>
              <w:jc w:val="left"/>
              <w:textAlignment w:val="auto"/>
              <w:rPr>
                <w:rFonts w:hint="default" w:ascii="宋体" w:hAnsi="宋体"/>
                <w:color w:val="000000"/>
                <w:sz w:val="21"/>
                <w:szCs w:val="21"/>
              </w:rPr>
            </w:pPr>
            <w:r>
              <w:rPr>
                <w:rFonts w:hint="eastAsia" w:ascii="宋体" w:hAnsi="宋体"/>
                <w:color w:val="000000"/>
                <w:sz w:val="21"/>
                <w:szCs w:val="21"/>
              </w:rPr>
              <w:t>近年发生的诉讼及仲裁情况的年份要求</w:t>
            </w:r>
          </w:p>
        </w:tc>
        <w:tc>
          <w:tcPr>
            <w:tcW w:w="5590" w:type="dxa"/>
            <w:vAlign w:val="center"/>
          </w:tcPr>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eastAsia" w:hAnsi="宋体" w:eastAsia="宋体" w:cs="Times New Roman"/>
                <w:sz w:val="21"/>
                <w:szCs w:val="21"/>
                <w:lang w:eastAsia="zh-CN"/>
              </w:rPr>
            </w:pPr>
            <w:r>
              <w:rPr>
                <w:rFonts w:hint="eastAsia" w:ascii="Arial" w:hAnsi="Arial" w:cs="Arial"/>
                <w:sz w:val="21"/>
                <w:szCs w:val="21"/>
                <w:u w:val="single"/>
                <w:lang w:val="en-US" w:eastAsia="zh-CN"/>
              </w:rPr>
              <w:t>在资格预审公告发布之日起前三年内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1.4.7</w:t>
            </w:r>
          </w:p>
        </w:tc>
        <w:tc>
          <w:tcPr>
            <w:tcW w:w="2285" w:type="dxa"/>
            <w:gridSpan w:val="2"/>
            <w:vAlign w:val="center"/>
          </w:tcPr>
          <w:p>
            <w:pPr>
              <w:pStyle w:val="66"/>
              <w:keepNext w:val="0"/>
              <w:keepLines w:val="0"/>
              <w:pageBreakBefore w:val="0"/>
              <w:suppressLineNumbers w:val="0"/>
              <w:kinsoku/>
              <w:bidi w:val="0"/>
              <w:snapToGrid w:val="0"/>
              <w:spacing w:before="0" w:beforeAutospacing="0" w:after="0" w:afterAutospacing="0" w:line="240" w:lineRule="auto"/>
              <w:ind w:left="0" w:right="0"/>
              <w:jc w:val="center"/>
              <w:textAlignment w:val="auto"/>
              <w:rPr>
                <w:rFonts w:hint="default" w:hAnsi="宋体" w:cs="Times New Roman"/>
                <w:sz w:val="21"/>
                <w:szCs w:val="21"/>
              </w:rPr>
            </w:pPr>
            <w:r>
              <w:rPr>
                <w:rFonts w:hint="eastAsia" w:hAnsi="宋体" w:cs="Times New Roman"/>
                <w:sz w:val="21"/>
                <w:szCs w:val="21"/>
              </w:rPr>
              <w:t>近年类似项目业绩年份要求</w:t>
            </w:r>
          </w:p>
        </w:tc>
        <w:tc>
          <w:tcPr>
            <w:tcW w:w="5590" w:type="dxa"/>
            <w:vAlign w:val="center"/>
          </w:tcPr>
          <w:p>
            <w:pPr>
              <w:pStyle w:val="66"/>
              <w:keepNext w:val="0"/>
              <w:keepLines w:val="0"/>
              <w:pageBreakBefore w:val="0"/>
              <w:suppressLineNumbers w:val="0"/>
              <w:kinsoku/>
              <w:bidi w:val="0"/>
              <w:snapToGrid w:val="0"/>
              <w:spacing w:before="0" w:beforeAutospacing="0" w:after="0" w:afterAutospacing="0" w:line="360" w:lineRule="auto"/>
              <w:ind w:left="0" w:right="0"/>
              <w:jc w:val="both"/>
              <w:textAlignment w:val="auto"/>
              <w:rPr>
                <w:rFonts w:hint="default" w:hAnsi="宋体" w:cs="Times New Roman"/>
                <w:sz w:val="21"/>
                <w:szCs w:val="21"/>
              </w:rPr>
            </w:pPr>
            <w:r>
              <w:rPr>
                <w:rFonts w:hint="default" w:ascii="Arial" w:hAnsi="Arial" w:cs="Arial"/>
                <w:sz w:val="21"/>
                <w:szCs w:val="21"/>
                <w:u w:val="single"/>
              </w:rPr>
              <w:t>201</w:t>
            </w:r>
            <w:r>
              <w:rPr>
                <w:rFonts w:hint="eastAsia" w:ascii="Arial" w:hAnsi="Arial" w:cs="Arial"/>
                <w:sz w:val="21"/>
                <w:szCs w:val="21"/>
                <w:u w:val="single"/>
                <w:lang w:val="en-US" w:eastAsia="zh-CN"/>
              </w:rPr>
              <w:t>5</w:t>
            </w:r>
            <w:r>
              <w:rPr>
                <w:rFonts w:hint="eastAsia" w:hAnsi="宋体" w:cs="Times New Roman"/>
                <w:sz w:val="21"/>
                <w:szCs w:val="21"/>
              </w:rPr>
              <w:t>年</w:t>
            </w:r>
            <w:r>
              <w:rPr>
                <w:rFonts w:hint="default" w:ascii="Arial" w:hAnsi="Arial" w:cs="Arial"/>
                <w:sz w:val="21"/>
                <w:szCs w:val="21"/>
                <w:u w:val="single"/>
              </w:rPr>
              <w:t>1</w:t>
            </w:r>
            <w:r>
              <w:rPr>
                <w:rFonts w:hint="eastAsia" w:hAnsi="宋体" w:cs="Times New Roman"/>
                <w:sz w:val="21"/>
                <w:szCs w:val="21"/>
              </w:rPr>
              <w:t>月</w:t>
            </w:r>
            <w:r>
              <w:rPr>
                <w:rFonts w:hint="default" w:ascii="Arial" w:hAnsi="Arial" w:cs="Arial"/>
                <w:sz w:val="21"/>
                <w:szCs w:val="21"/>
                <w:u w:val="single"/>
              </w:rPr>
              <w:t>1</w:t>
            </w:r>
            <w:r>
              <w:rPr>
                <w:rFonts w:hint="eastAsia" w:hAnsi="宋体" w:cs="Times New Roman"/>
                <w:sz w:val="21"/>
                <w:szCs w:val="21"/>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1.</w:t>
            </w:r>
            <w:r>
              <w:rPr>
                <w:rFonts w:hint="default"/>
                <w:color w:val="000000"/>
                <w:sz w:val="21"/>
                <w:szCs w:val="21"/>
              </w:rPr>
              <w:t>5</w:t>
            </w:r>
          </w:p>
        </w:tc>
        <w:tc>
          <w:tcPr>
            <w:tcW w:w="2285" w:type="dxa"/>
            <w:gridSpan w:val="2"/>
            <w:vAlign w:val="center"/>
          </w:tcPr>
          <w:p>
            <w:pPr>
              <w:pStyle w:val="66"/>
              <w:keepNext w:val="0"/>
              <w:keepLines w:val="0"/>
              <w:pageBreakBefore w:val="0"/>
              <w:suppressLineNumbers w:val="0"/>
              <w:kinsoku/>
              <w:bidi w:val="0"/>
              <w:snapToGrid w:val="0"/>
              <w:spacing w:before="0" w:beforeAutospacing="0" w:after="0" w:afterAutospacing="0" w:line="360" w:lineRule="auto"/>
              <w:ind w:left="0" w:right="0"/>
              <w:jc w:val="center"/>
              <w:textAlignment w:val="auto"/>
              <w:rPr>
                <w:rFonts w:hint="default"/>
                <w:sz w:val="21"/>
                <w:szCs w:val="21"/>
              </w:rPr>
            </w:pPr>
            <w:r>
              <w:rPr>
                <w:rFonts w:hint="eastAsia" w:hAnsi="宋体" w:cs="Times New Roman"/>
                <w:sz w:val="21"/>
                <w:szCs w:val="21"/>
              </w:rPr>
              <w:t>项目概况</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eastAsia"/>
                <w:sz w:val="21"/>
                <w:szCs w:val="21"/>
                <w:lang w:val="en-US" w:eastAsia="zh-CN"/>
              </w:rPr>
              <w:t>本</w:t>
            </w:r>
            <w:r>
              <w:rPr>
                <w:rFonts w:hint="default"/>
                <w:sz w:val="21"/>
                <w:szCs w:val="21"/>
                <w:lang w:val="en-US" w:eastAsia="zh-CN"/>
              </w:rPr>
              <w:t>项目自东向西，起点位于唐庄范庄南侧的郭阳线与冯唐线交叉处。冯唐线为东西向道路，郭阳线在本项目起点前为东西向道路，在起点处折向南，成南北向道路。推荐线起点桩号为K0+000.000。道路起点后向南在K1+300段穿过马蹄沟村和南坡村，而后沿山坡南行约一公里至K2+300过刘家沟村，继续南行至K4+050进入东张村，而后在K4+450附近出东张村继续沿现状道路南行，在K5+000进入西燕村，路线折向西南，在K6+600过北新庄折向南，道路成为南北向道路，在K7+500附近绕过山坡后道路折向西，进入锦鹏生态园区道路，在K8+800左右与卢崖寺景区道路相交后道路在K9+200处折向南进入已经建成通车的福佑路，进入的登封市城区道路完全利用段，利用段总长为4780</w:t>
            </w:r>
            <w:r>
              <w:rPr>
                <w:rFonts w:hint="eastAsia"/>
                <w:sz w:val="21"/>
                <w:szCs w:val="21"/>
                <w:lang w:val="en-US" w:eastAsia="zh-CN"/>
              </w:rPr>
              <w:t>米</w:t>
            </w:r>
            <w:r>
              <w:rPr>
                <w:rFonts w:hint="default"/>
                <w:sz w:val="21"/>
                <w:szCs w:val="21"/>
                <w:lang w:val="en-US" w:eastAsia="zh-CN"/>
              </w:rPr>
              <w:t>，利用段为福佑路（福佑路至少林大道，长度为1180</w:t>
            </w:r>
            <w:r>
              <w:rPr>
                <w:rFonts w:hint="eastAsia"/>
                <w:sz w:val="21"/>
                <w:szCs w:val="21"/>
                <w:lang w:val="en-US" w:eastAsia="zh-CN"/>
              </w:rPr>
              <w:t>米</w:t>
            </w:r>
            <w:r>
              <w:rPr>
                <w:rFonts w:hint="default"/>
                <w:sz w:val="21"/>
                <w:szCs w:val="21"/>
                <w:lang w:val="en-US" w:eastAsia="zh-CN"/>
              </w:rPr>
              <w:t>），少林大道段（福佑路至阳城路，长度为2470</w:t>
            </w:r>
            <w:r>
              <w:rPr>
                <w:rFonts w:hint="eastAsia"/>
                <w:sz w:val="21"/>
                <w:szCs w:val="21"/>
                <w:lang w:val="en-US" w:eastAsia="zh-CN"/>
              </w:rPr>
              <w:t>米</w:t>
            </w:r>
            <w:r>
              <w:rPr>
                <w:rFonts w:hint="default"/>
                <w:sz w:val="21"/>
                <w:szCs w:val="21"/>
                <w:lang w:val="en-US" w:eastAsia="zh-CN"/>
              </w:rPr>
              <w:t>），阳城路段（少林大道至太室路，长度1130</w:t>
            </w:r>
            <w:r>
              <w:rPr>
                <w:rFonts w:hint="eastAsia"/>
                <w:sz w:val="21"/>
                <w:szCs w:val="21"/>
                <w:lang w:val="en-US" w:eastAsia="zh-CN"/>
              </w:rPr>
              <w:t>米</w:t>
            </w:r>
            <w:r>
              <w:rPr>
                <w:rFonts w:hint="default"/>
                <w:sz w:val="21"/>
                <w:szCs w:val="21"/>
                <w:lang w:val="en-US" w:eastAsia="zh-CN"/>
              </w:rPr>
              <w:t>），城区利用段福佑路为南北路，少林大道东西路，在少林大道与阳城路交叉口折向北，沿阳城路北上后至太室路折向西，而后道路进入城区改建段，改建段长度为13320</w:t>
            </w:r>
            <w:r>
              <w:rPr>
                <w:rFonts w:hint="eastAsia"/>
                <w:sz w:val="21"/>
                <w:szCs w:val="21"/>
                <w:lang w:val="en-US" w:eastAsia="zh-CN"/>
              </w:rPr>
              <w:t>米</w:t>
            </w:r>
            <w:r>
              <w:rPr>
                <w:rFonts w:hint="default"/>
                <w:sz w:val="21"/>
                <w:szCs w:val="21"/>
                <w:lang w:val="en-US" w:eastAsia="zh-CN"/>
              </w:rPr>
              <w:t>。城区利用改建段从K13+980后折向西后进入太室路，道路呈东西走向，依次向西与城区道路守敬路（K14+300）、大禹路（K14+750）、崇福路（K15+365）、并与K16+700进入嵩阳书院景区，依次与滨河路、书院河路、嵩阳路、少室路后出嵩阳书院景区后折向西南，而后前行进入会善寺景区，而后与G207相交，折向南，并进入环山旅游路的西段，过少室阙后进入少林音乐大典后在K25+000与大禹路西段终点相交后南行在K25+760与少林大道相交后与规划路颖河路及规划南二环路后进入新建路段。新建路段由南北向道路折向西南，跨过北秦沟后进入三王庄，在K30+500过天成植物园后折向路南侧，从清凉寺水库大坝下游约200</w:t>
            </w:r>
            <w:r>
              <w:rPr>
                <w:rFonts w:hint="eastAsia"/>
                <w:sz w:val="21"/>
                <w:szCs w:val="21"/>
                <w:lang w:val="en-US" w:eastAsia="zh-CN"/>
              </w:rPr>
              <w:t>米</w:t>
            </w:r>
            <w:r>
              <w:rPr>
                <w:rFonts w:hint="default"/>
                <w:sz w:val="21"/>
                <w:szCs w:val="21"/>
                <w:lang w:val="en-US" w:eastAsia="zh-CN"/>
              </w:rPr>
              <w:t>处穿过，在预留的少林服务区立交出口西侧与现状文颖路相顺接，为本项目终点，终点桩号K33+420。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1.</w:t>
            </w:r>
            <w:r>
              <w:rPr>
                <w:rFonts w:hint="default" w:ascii="Arial Unicode MS" w:hAnsi="Arial Unicode MS" w:eastAsia="Arial Unicode MS" w:cs="Arial Unicode MS"/>
                <w:color w:val="000000"/>
                <w:sz w:val="21"/>
                <w:szCs w:val="21"/>
              </w:rPr>
              <w:t>6</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采购需求</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1.项目全生命周期：13.5年（含建设期1.5年和运营维护期12年）。</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2.投资估算</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项目估算总投资约84515.67万元。项目公司由中选社会资本和政府出资代表共同组建，其中社会资本股权比例为95%，剩余5%由登封豫资建设发展有限公司持有。</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3.项目规模：</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lang w:val="en-US" w:eastAsia="zh-CN"/>
              </w:rPr>
            </w:pPr>
            <w:r>
              <w:rPr>
                <w:rFonts w:hint="default"/>
                <w:sz w:val="21"/>
                <w:szCs w:val="21"/>
                <w:lang w:val="en-US" w:eastAsia="zh-CN"/>
              </w:rPr>
              <w:t>本项目为三级公路标准，设计时速40</w:t>
            </w:r>
            <w:r>
              <w:rPr>
                <w:rFonts w:hint="eastAsia"/>
                <w:sz w:val="21"/>
                <w:szCs w:val="21"/>
                <w:lang w:val="en-US" w:eastAsia="zh-CN"/>
              </w:rPr>
              <w:t>公里</w:t>
            </w:r>
            <w:r>
              <w:rPr>
                <w:rFonts w:hint="default"/>
                <w:sz w:val="21"/>
                <w:szCs w:val="21"/>
                <w:lang w:val="en-US" w:eastAsia="zh-CN"/>
              </w:rPr>
              <w:t>/h，双向2车道，沥青混凝土路面，路基宽度标准断面为：整体式路基16.5</w:t>
            </w:r>
            <w:r>
              <w:rPr>
                <w:rFonts w:hint="eastAsia"/>
                <w:sz w:val="21"/>
                <w:szCs w:val="21"/>
                <w:lang w:val="en-US" w:eastAsia="zh-CN"/>
              </w:rPr>
              <w:t>米</w:t>
            </w:r>
            <w:r>
              <w:rPr>
                <w:rFonts w:hint="default"/>
                <w:sz w:val="21"/>
                <w:szCs w:val="21"/>
                <w:lang w:val="en-US" w:eastAsia="zh-CN"/>
              </w:rPr>
              <w:t>，分离式路基8.75</w:t>
            </w:r>
            <w:r>
              <w:rPr>
                <w:rFonts w:hint="eastAsia"/>
                <w:sz w:val="21"/>
                <w:szCs w:val="21"/>
                <w:lang w:val="en-US" w:eastAsia="zh-CN"/>
              </w:rPr>
              <w:t>米</w:t>
            </w:r>
            <w:r>
              <w:rPr>
                <w:rFonts w:hint="default"/>
                <w:sz w:val="21"/>
                <w:szCs w:val="21"/>
                <w:lang w:val="en-US" w:eastAsia="zh-CN"/>
              </w:rPr>
              <w:t>。其中阳城路至大禹路、嵩阳书院段和G207至少林大道段基本完全利用现状道路路基。项目全线单侧设置慢行系统（自行车道和人行道），其中市区段在条件允许的情况下两侧设置人行道。项目自东向西，起点至西燕村段约5.1公里慢行系统采用郊区段断面形式，西燕村至项目终点段约28.32公里慢行系统采用市区段断面形式。</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lang w:val="en-US" w:eastAsia="zh-CN"/>
              </w:rPr>
            </w:pPr>
            <w:r>
              <w:rPr>
                <w:rFonts w:hint="default"/>
                <w:sz w:val="21"/>
                <w:szCs w:val="21"/>
                <w:lang w:val="en-US" w:eastAsia="zh-CN"/>
              </w:rPr>
              <w:t>本项目工程建设内容主要包含：道路工程、桥涵工程、照明、景观绿化、慢行系统(人行道和自行车道)、停车场和观景平台等。</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lang w:val="en-US" w:eastAsia="zh-CN"/>
              </w:rPr>
            </w:pPr>
            <w:r>
              <w:rPr>
                <w:rFonts w:hint="eastAsia"/>
                <w:sz w:val="21"/>
                <w:szCs w:val="21"/>
                <w:lang w:val="en-US" w:eastAsia="zh-CN"/>
              </w:rPr>
              <w:t>项目</w:t>
            </w:r>
            <w:r>
              <w:rPr>
                <w:rFonts w:hint="default"/>
                <w:sz w:val="21"/>
                <w:szCs w:val="21"/>
                <w:lang w:val="en-US" w:eastAsia="zh-CN"/>
              </w:rPr>
              <w:t>路线总长33.420</w:t>
            </w:r>
            <w:r>
              <w:rPr>
                <w:rFonts w:hint="eastAsia"/>
                <w:sz w:val="21"/>
                <w:szCs w:val="21"/>
                <w:lang w:val="en-US" w:eastAsia="zh-CN"/>
              </w:rPr>
              <w:t>公里</w:t>
            </w:r>
            <w:r>
              <w:rPr>
                <w:rFonts w:hint="default"/>
                <w:sz w:val="21"/>
                <w:szCs w:val="21"/>
                <w:lang w:val="en-US" w:eastAsia="zh-CN"/>
              </w:rPr>
              <w:t>，道路占地面积966.83亩。路基土石方数量挖方为38.4万立方米（计价方），填方26.2万立方米（计价方），沥青混凝土路面数量为39.03万平方米，排水工程60.092</w:t>
            </w:r>
            <w:r>
              <w:rPr>
                <w:rFonts w:hint="eastAsia"/>
                <w:sz w:val="21"/>
                <w:szCs w:val="21"/>
                <w:lang w:val="en-US" w:eastAsia="zh-CN"/>
              </w:rPr>
              <w:t>公里</w:t>
            </w:r>
            <w:r>
              <w:rPr>
                <w:rFonts w:hint="default"/>
                <w:sz w:val="21"/>
                <w:szCs w:val="21"/>
                <w:lang w:val="en-US" w:eastAsia="zh-CN"/>
              </w:rPr>
              <w:t>，防护工程7.39</w:t>
            </w:r>
            <w:r>
              <w:rPr>
                <w:rFonts w:hint="eastAsia"/>
                <w:sz w:val="21"/>
                <w:szCs w:val="21"/>
                <w:lang w:val="en-US" w:eastAsia="zh-CN"/>
              </w:rPr>
              <w:t>公里</w:t>
            </w:r>
            <w:r>
              <w:rPr>
                <w:rFonts w:hint="default"/>
                <w:sz w:val="21"/>
                <w:szCs w:val="21"/>
                <w:lang w:val="en-US" w:eastAsia="zh-CN"/>
              </w:rPr>
              <w:t>。新建大桥4座680.12米，新建中桥2座108.96米，拼宽利用中桥3座86米，完全利用中桥2座79.5米，拼宽利用小桥3座56.1</w:t>
            </w:r>
            <w:r>
              <w:rPr>
                <w:rFonts w:hint="eastAsia"/>
                <w:sz w:val="21"/>
                <w:szCs w:val="21"/>
                <w:lang w:val="en-US" w:eastAsia="zh-CN"/>
              </w:rPr>
              <w:t>米</w:t>
            </w:r>
            <w:r>
              <w:rPr>
                <w:rFonts w:hint="default"/>
                <w:sz w:val="21"/>
                <w:szCs w:val="21"/>
                <w:lang w:val="en-US" w:eastAsia="zh-CN"/>
              </w:rPr>
              <w:t>；本项目共原有涵洞62道，拆除重建25道，废弃拆除3道，接长利用19道，直接利用15道。本项目共新建涵洞5道，平面交叉33处，安全设施及绿化33.420</w:t>
            </w:r>
            <w:r>
              <w:rPr>
                <w:rFonts w:hint="eastAsia"/>
                <w:sz w:val="21"/>
                <w:szCs w:val="21"/>
                <w:lang w:val="en-US" w:eastAsia="zh-CN"/>
              </w:rPr>
              <w:t>公里</w:t>
            </w:r>
            <w:r>
              <w:rPr>
                <w:rFonts w:hint="default"/>
                <w:sz w:val="21"/>
                <w:szCs w:val="21"/>
                <w:lang w:val="en-US" w:eastAsia="zh-CN"/>
              </w:rPr>
              <w:t>。</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sz w:val="21"/>
                <w:szCs w:val="21"/>
                <w:lang w:val="en-US" w:eastAsia="zh-CN"/>
              </w:rPr>
            </w:pPr>
            <w:r>
              <w:rPr>
                <w:rFonts w:hint="eastAsia"/>
                <w:sz w:val="21"/>
                <w:szCs w:val="21"/>
                <w:lang w:val="en-US" w:eastAsia="zh-CN"/>
              </w:rPr>
              <w:t>由于本项目为旅游道路，需要在道路沿线设置停车服务系统，游人观景系统和供游人小憩、停驻的服务系统，所以根据需要本项目考虑设置了小型的自由停车区、观景台、人行道和自行车慢行系统等。</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eastAsia"/>
                <w:sz w:val="21"/>
                <w:szCs w:val="21"/>
                <w:lang w:val="en-US" w:eastAsia="zh-CN"/>
              </w:rPr>
              <w:t>4.项目地点：登封市唐庄镇至登封市大金店镇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1.</w:t>
            </w:r>
            <w:r>
              <w:rPr>
                <w:rFonts w:hint="default" w:ascii="Arial Unicode MS" w:hAnsi="Arial Unicode MS" w:eastAsia="Arial Unicode MS" w:cs="Arial Unicode MS"/>
                <w:color w:val="000000"/>
                <w:sz w:val="21"/>
                <w:szCs w:val="21"/>
              </w:rPr>
              <w:t>9.1</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现场考察及答疑会</w:t>
            </w:r>
          </w:p>
        </w:tc>
        <w:tc>
          <w:tcPr>
            <w:tcW w:w="5590" w:type="dxa"/>
            <w:vAlign w:val="center"/>
          </w:tcPr>
          <w:p>
            <w:pPr>
              <w:pStyle w:val="66"/>
              <w:keepNext w:val="0"/>
              <w:keepLines w:val="0"/>
              <w:pageBreakBefore w:val="0"/>
              <w:suppressLineNumbers w:val="0"/>
              <w:kinsoku/>
              <w:bidi w:val="0"/>
              <w:spacing w:before="0" w:beforeAutospacing="0" w:after="0" w:afterAutospacing="0" w:line="360" w:lineRule="auto"/>
              <w:ind w:left="0" w:right="0"/>
              <w:textAlignment w:val="auto"/>
              <w:rPr>
                <w:rFonts w:hint="default" w:hAnsi="宋体" w:cs="Times New Roman"/>
                <w:color w:val="auto"/>
                <w:sz w:val="21"/>
                <w:szCs w:val="21"/>
              </w:rPr>
            </w:pPr>
            <w:r>
              <w:rPr>
                <w:rFonts w:hint="default" w:ascii="Segoe UI Symbol" w:hAnsi="Segoe UI Symbol" w:cs="Segoe UI Symbol"/>
                <w:color w:val="auto"/>
                <w:sz w:val="21"/>
                <w:szCs w:val="21"/>
              </w:rPr>
              <w:t>☑</w:t>
            </w:r>
            <w:r>
              <w:rPr>
                <w:rFonts w:hint="eastAsia" w:hAnsi="宋体" w:cs="Times New Roman"/>
                <w:color w:val="auto"/>
                <w:sz w:val="21"/>
                <w:szCs w:val="21"/>
              </w:rPr>
              <w:t>不组织</w:t>
            </w:r>
          </w:p>
          <w:p>
            <w:pPr>
              <w:pStyle w:val="66"/>
              <w:keepNext w:val="0"/>
              <w:keepLines w:val="0"/>
              <w:pageBreakBefore w:val="0"/>
              <w:suppressLineNumbers w:val="0"/>
              <w:kinsoku/>
              <w:bidi w:val="0"/>
              <w:spacing w:before="0" w:beforeAutospacing="0" w:after="0" w:afterAutospacing="0" w:line="360" w:lineRule="auto"/>
              <w:ind w:left="0" w:right="0"/>
              <w:textAlignment w:val="auto"/>
              <w:rPr>
                <w:rFonts w:hint="default" w:hAnsi="宋体" w:cs="Times New Roman"/>
                <w:color w:val="auto"/>
                <w:sz w:val="21"/>
                <w:szCs w:val="21"/>
              </w:rPr>
            </w:pPr>
            <w:r>
              <w:rPr>
                <w:rFonts w:hint="eastAsia" w:hAnsi="宋体" w:cs="Times New Roman"/>
                <w:color w:val="auto"/>
                <w:sz w:val="21"/>
                <w:szCs w:val="21"/>
              </w:rPr>
              <w:t>□组织</w:t>
            </w:r>
            <w:r>
              <w:rPr>
                <w:rFonts w:hint="default" w:hAnsi="宋体" w:cs="Times New Roman"/>
                <w:color w:val="auto"/>
                <w:sz w:val="21"/>
                <w:szCs w:val="21"/>
              </w:rPr>
              <w:t xml:space="preserve">，考察时间：        </w:t>
            </w:r>
          </w:p>
          <w:p>
            <w:pPr>
              <w:pStyle w:val="66"/>
              <w:keepNext w:val="0"/>
              <w:keepLines w:val="0"/>
              <w:pageBreakBefore w:val="0"/>
              <w:suppressLineNumbers w:val="0"/>
              <w:kinsoku/>
              <w:bidi w:val="0"/>
              <w:spacing w:before="0" w:beforeAutospacing="0" w:after="0" w:afterAutospacing="0" w:line="360" w:lineRule="auto"/>
              <w:ind w:left="0" w:right="0" w:firstLine="840" w:firstLineChars="400"/>
              <w:textAlignment w:val="auto"/>
              <w:rPr>
                <w:rFonts w:hint="default" w:hAnsi="宋体" w:cs="Times New Roman"/>
                <w:color w:val="auto"/>
                <w:sz w:val="21"/>
                <w:szCs w:val="21"/>
              </w:rPr>
            </w:pPr>
            <w:r>
              <w:rPr>
                <w:rFonts w:hint="eastAsia" w:hAnsi="宋体" w:cs="Times New Roman"/>
                <w:color w:val="auto"/>
                <w:sz w:val="21"/>
                <w:szCs w:val="21"/>
              </w:rPr>
              <w:t>考察</w:t>
            </w:r>
            <w:r>
              <w:rPr>
                <w:rFonts w:hint="default" w:hAnsi="宋体" w:cs="Times New Roman"/>
                <w:color w:val="auto"/>
                <w:sz w:val="21"/>
                <w:szCs w:val="21"/>
              </w:rPr>
              <w:t>地点：</w:t>
            </w:r>
          </w:p>
          <w:p>
            <w:pPr>
              <w:pStyle w:val="66"/>
              <w:keepNext w:val="0"/>
              <w:keepLines w:val="0"/>
              <w:pageBreakBefore w:val="0"/>
              <w:suppressLineNumbers w:val="0"/>
              <w:kinsoku/>
              <w:bidi w:val="0"/>
              <w:spacing w:before="0" w:beforeAutospacing="0" w:after="0" w:afterAutospacing="0" w:line="360" w:lineRule="auto"/>
              <w:ind w:left="0" w:right="0"/>
              <w:textAlignment w:val="auto"/>
              <w:rPr>
                <w:rFonts w:hint="default" w:hAnsi="宋体" w:cs="Times New Roman"/>
                <w:color w:val="auto"/>
                <w:sz w:val="21"/>
                <w:szCs w:val="21"/>
              </w:rPr>
            </w:pPr>
            <w:r>
              <w:rPr>
                <w:rFonts w:hint="eastAsia" w:hAnsi="宋体" w:cs="Times New Roman"/>
                <w:color w:val="auto"/>
                <w:sz w:val="21"/>
                <w:szCs w:val="21"/>
              </w:rPr>
              <w:t>□不召开</w:t>
            </w:r>
          </w:p>
          <w:p>
            <w:pPr>
              <w:pStyle w:val="66"/>
              <w:keepNext w:val="0"/>
              <w:keepLines w:val="0"/>
              <w:pageBreakBefore w:val="0"/>
              <w:suppressLineNumbers w:val="0"/>
              <w:kinsoku/>
              <w:bidi w:val="0"/>
              <w:spacing w:before="0" w:beforeAutospacing="0" w:after="0" w:afterAutospacing="0" w:line="360" w:lineRule="auto"/>
              <w:ind w:left="0" w:right="0"/>
              <w:textAlignment w:val="auto"/>
              <w:rPr>
                <w:rFonts w:hint="eastAsia" w:hAnsi="宋体" w:cs="Times New Roman"/>
                <w:color w:val="auto"/>
                <w:sz w:val="21"/>
                <w:szCs w:val="21"/>
                <w:lang w:val="en-US" w:eastAsia="zh-CN"/>
              </w:rPr>
            </w:pPr>
            <w:r>
              <w:rPr>
                <w:rFonts w:hint="default" w:ascii="Segoe UI Symbol" w:hAnsi="Segoe UI Symbol" w:cs="Segoe UI Symbol"/>
                <w:color w:val="auto"/>
                <w:sz w:val="21"/>
                <w:szCs w:val="21"/>
              </w:rPr>
              <w:t>☑</w:t>
            </w:r>
            <w:r>
              <w:rPr>
                <w:rFonts w:hint="eastAsia" w:hAnsi="宋体" w:cs="Times New Roman"/>
                <w:color w:val="auto"/>
                <w:sz w:val="21"/>
                <w:szCs w:val="21"/>
              </w:rPr>
              <w:t>召开</w:t>
            </w:r>
            <w:r>
              <w:rPr>
                <w:rFonts w:hint="default" w:hAnsi="宋体" w:cs="Times New Roman"/>
                <w:color w:val="auto"/>
                <w:sz w:val="21"/>
                <w:szCs w:val="21"/>
              </w:rPr>
              <w:t>，召开时间：</w:t>
            </w:r>
            <w:r>
              <w:rPr>
                <w:rFonts w:hint="eastAsia" w:hAnsi="宋体" w:cs="Times New Roman"/>
                <w:color w:val="auto"/>
                <w:sz w:val="21"/>
                <w:szCs w:val="21"/>
                <w:lang w:val="en-US" w:eastAsia="zh-CN"/>
              </w:rPr>
              <w:t>2018 年 5 月 7 日</w:t>
            </w:r>
          </w:p>
          <w:p>
            <w:pPr>
              <w:pStyle w:val="66"/>
              <w:keepNext w:val="0"/>
              <w:keepLines w:val="0"/>
              <w:pageBreakBefore w:val="0"/>
              <w:suppressLineNumbers w:val="0"/>
              <w:kinsoku/>
              <w:bidi w:val="0"/>
              <w:spacing w:before="0" w:beforeAutospacing="0" w:after="0" w:afterAutospacing="0" w:line="360" w:lineRule="auto"/>
              <w:ind w:left="0" w:right="0" w:firstLine="840" w:firstLineChars="400"/>
              <w:textAlignment w:val="auto"/>
              <w:rPr>
                <w:rFonts w:hint="eastAsia" w:hAnsi="宋体" w:cs="Times New Roman"/>
                <w:color w:val="auto"/>
                <w:sz w:val="21"/>
                <w:szCs w:val="21"/>
                <w:lang w:val="en-US" w:eastAsia="zh-CN"/>
              </w:rPr>
            </w:pPr>
            <w:r>
              <w:rPr>
                <w:rFonts w:hint="eastAsia" w:hAnsi="宋体" w:cs="Times New Roman"/>
                <w:color w:val="auto"/>
                <w:sz w:val="21"/>
                <w:szCs w:val="21"/>
              </w:rPr>
              <w:t>召开地点</w:t>
            </w:r>
            <w:r>
              <w:rPr>
                <w:rFonts w:hint="default" w:hAnsi="宋体" w:cs="Times New Roman"/>
                <w:color w:val="auto"/>
                <w:sz w:val="21"/>
                <w:szCs w:val="21"/>
              </w:rPr>
              <w:t>：</w:t>
            </w:r>
            <w:r>
              <w:rPr>
                <w:rFonts w:hint="eastAsia" w:hAnsi="宋体" w:cs="Times New Roman"/>
                <w:color w:val="auto"/>
                <w:sz w:val="21"/>
                <w:szCs w:val="21"/>
                <w:lang w:val="en-US" w:eastAsia="zh-CN"/>
              </w:rPr>
              <w:t>登封市交通运输局</w:t>
            </w:r>
          </w:p>
          <w:p>
            <w:pPr>
              <w:pStyle w:val="66"/>
              <w:keepNext w:val="0"/>
              <w:keepLines w:val="0"/>
              <w:pageBreakBefore w:val="0"/>
              <w:suppressLineNumbers w:val="0"/>
              <w:kinsoku/>
              <w:bidi w:val="0"/>
              <w:spacing w:before="0" w:beforeAutospacing="0" w:after="0" w:afterAutospacing="0" w:line="360" w:lineRule="auto"/>
              <w:ind w:left="0" w:right="0"/>
              <w:textAlignment w:val="auto"/>
              <w:rPr>
                <w:rFonts w:hint="default" w:hAnsi="宋体" w:cs="Times New Roman"/>
                <w:color w:val="auto"/>
                <w:sz w:val="21"/>
                <w:szCs w:val="21"/>
                <w:lang w:val="en-US" w:eastAsia="zh-CN"/>
              </w:rPr>
            </w:pPr>
            <w:r>
              <w:rPr>
                <w:rFonts w:hint="eastAsia" w:hAnsi="宋体" w:cs="Times New Roman"/>
                <w:color w:val="auto"/>
                <w:sz w:val="21"/>
                <w:szCs w:val="21"/>
                <w:lang w:val="en-US" w:eastAsia="zh-CN"/>
              </w:rPr>
              <w:t>请于</w:t>
            </w:r>
            <w:r>
              <w:rPr>
                <w:rFonts w:hint="eastAsia" w:hAnsi="宋体" w:cs="Times New Roman"/>
                <w:color w:val="auto"/>
                <w:sz w:val="21"/>
                <w:szCs w:val="21"/>
                <w:u w:val="single"/>
                <w:lang w:val="en-US" w:eastAsia="zh-CN"/>
              </w:rPr>
              <w:t xml:space="preserve"> 2018 年 5 月 7 日</w:t>
            </w:r>
            <w:r>
              <w:rPr>
                <w:rFonts w:hint="eastAsia" w:hAnsi="宋体" w:cs="Times New Roman"/>
                <w:color w:val="auto"/>
                <w:sz w:val="21"/>
                <w:szCs w:val="21"/>
                <w:lang w:val="en-US" w:eastAsia="zh-CN"/>
              </w:rPr>
              <w:t>前将需要答疑、澄清的内容盖章扫描后发送至hnfddfxmb@163.com。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2.2.1</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投标截止时间</w:t>
            </w:r>
          </w:p>
        </w:tc>
        <w:tc>
          <w:tcPr>
            <w:tcW w:w="5590" w:type="dxa"/>
            <w:vAlign w:val="center"/>
          </w:tcPr>
          <w:p>
            <w:pPr>
              <w:pStyle w:val="66"/>
              <w:keepNext w:val="0"/>
              <w:keepLines w:val="0"/>
              <w:pageBreakBefore w:val="0"/>
              <w:suppressLineNumbers w:val="0"/>
              <w:kinsoku/>
              <w:bidi w:val="0"/>
              <w:spacing w:before="0" w:beforeAutospacing="0" w:after="0" w:afterAutospacing="0" w:line="360" w:lineRule="auto"/>
              <w:ind w:left="0" w:right="0" w:firstLine="105" w:firstLineChars="50"/>
              <w:textAlignment w:val="auto"/>
              <w:rPr>
                <w:rFonts w:hint="default" w:hAnsi="宋体" w:cs="Times New Roman"/>
                <w:sz w:val="21"/>
                <w:szCs w:val="21"/>
              </w:rPr>
            </w:pPr>
            <w:r>
              <w:rPr>
                <w:rFonts w:hint="default" w:ascii="Arial" w:hAnsi="Arial" w:cs="Arial"/>
                <w:sz w:val="21"/>
                <w:szCs w:val="21"/>
                <w:u w:val="single"/>
              </w:rPr>
              <w:t>201</w:t>
            </w:r>
            <w:r>
              <w:rPr>
                <w:rFonts w:hint="eastAsia" w:ascii="Arial" w:hAnsi="Arial" w:cs="Arial"/>
                <w:sz w:val="21"/>
                <w:szCs w:val="21"/>
                <w:u w:val="single"/>
                <w:lang w:val="en-US" w:eastAsia="zh-CN"/>
              </w:rPr>
              <w:t>8</w:t>
            </w:r>
            <w:r>
              <w:rPr>
                <w:rFonts w:hint="default" w:hAnsi="宋体" w:cs="Times New Roman"/>
                <w:sz w:val="21"/>
                <w:szCs w:val="21"/>
                <w:u w:val="single"/>
              </w:rPr>
              <w:t xml:space="preserve"> </w:t>
            </w:r>
            <w:r>
              <w:rPr>
                <w:rFonts w:hint="eastAsia" w:hAnsi="宋体" w:cs="Times New Roman"/>
                <w:sz w:val="21"/>
                <w:szCs w:val="21"/>
              </w:rPr>
              <w:t>年</w:t>
            </w:r>
            <w:r>
              <w:rPr>
                <w:rFonts w:hint="default" w:hAnsi="宋体" w:cs="Times New Roman"/>
                <w:sz w:val="21"/>
                <w:szCs w:val="21"/>
                <w:u w:val="single"/>
              </w:rPr>
              <w:t xml:space="preserve"> </w:t>
            </w:r>
            <w:r>
              <w:rPr>
                <w:rFonts w:hint="eastAsia" w:hAnsi="宋体" w:cs="Times New Roman"/>
                <w:sz w:val="21"/>
                <w:szCs w:val="21"/>
                <w:u w:val="single"/>
                <w:lang w:val="en-US" w:eastAsia="zh-CN"/>
              </w:rPr>
              <w:t xml:space="preserve"> </w:t>
            </w:r>
            <w:r>
              <w:rPr>
                <w:rFonts w:hint="eastAsia" w:ascii="Arial" w:hAnsi="Arial" w:eastAsia="Arial Unicode MS" w:cs="Arial"/>
                <w:sz w:val="21"/>
                <w:szCs w:val="21"/>
                <w:u w:val="single"/>
                <w:lang w:val="en-US" w:eastAsia="zh-CN"/>
              </w:rPr>
              <w:t xml:space="preserve">5 </w:t>
            </w:r>
            <w:r>
              <w:rPr>
                <w:rFonts w:hint="default" w:hAnsi="宋体" w:cs="Times New Roman"/>
                <w:sz w:val="21"/>
                <w:szCs w:val="21"/>
                <w:u w:val="single"/>
              </w:rPr>
              <w:t xml:space="preserve"> </w:t>
            </w:r>
            <w:r>
              <w:rPr>
                <w:rFonts w:hint="eastAsia" w:hAnsi="宋体" w:cs="Times New Roman"/>
                <w:sz w:val="21"/>
                <w:szCs w:val="21"/>
              </w:rPr>
              <w:t>月</w:t>
            </w:r>
            <w:r>
              <w:rPr>
                <w:rFonts w:hint="default" w:hAnsi="宋体" w:cs="Times New Roman"/>
                <w:sz w:val="21"/>
                <w:szCs w:val="21"/>
                <w:u w:val="single"/>
              </w:rPr>
              <w:t xml:space="preserve"> </w:t>
            </w:r>
            <w:r>
              <w:rPr>
                <w:rFonts w:hint="eastAsia" w:hAnsi="宋体" w:cs="Times New Roman"/>
                <w:sz w:val="21"/>
                <w:szCs w:val="21"/>
                <w:u w:val="single"/>
                <w:lang w:val="en-US" w:eastAsia="zh-CN"/>
              </w:rPr>
              <w:t xml:space="preserve"> 14</w:t>
            </w:r>
            <w:r>
              <w:rPr>
                <w:rFonts w:hint="eastAsia" w:ascii="Arial" w:hAnsi="Arial" w:eastAsia="Arial Unicode MS" w:cs="Arial"/>
                <w:sz w:val="21"/>
                <w:szCs w:val="21"/>
                <w:u w:val="single"/>
                <w:lang w:val="en-US" w:eastAsia="zh-CN"/>
              </w:rPr>
              <w:t xml:space="preserve"> </w:t>
            </w:r>
            <w:r>
              <w:rPr>
                <w:rFonts w:hint="default" w:hAnsi="宋体" w:cs="Times New Roman"/>
                <w:sz w:val="21"/>
                <w:szCs w:val="21"/>
                <w:u w:val="single"/>
              </w:rPr>
              <w:t xml:space="preserve"> </w:t>
            </w:r>
            <w:r>
              <w:rPr>
                <w:rFonts w:hint="eastAsia" w:hAnsi="宋体" w:cs="Times New Roman"/>
                <w:sz w:val="21"/>
                <w:szCs w:val="21"/>
              </w:rPr>
              <w:t>日</w:t>
            </w:r>
            <w:r>
              <w:rPr>
                <w:rFonts w:hint="eastAsia" w:hAnsi="宋体" w:cs="Times New Roman"/>
                <w:sz w:val="21"/>
                <w:szCs w:val="21"/>
                <w:lang w:val="en-US" w:eastAsia="zh-CN"/>
              </w:rPr>
              <w:t>下</w:t>
            </w:r>
            <w:r>
              <w:rPr>
                <w:rFonts w:hint="eastAsia" w:hAnsi="宋体" w:cs="Times New Roman"/>
                <w:sz w:val="21"/>
                <w:szCs w:val="21"/>
              </w:rPr>
              <w:t>午</w:t>
            </w:r>
            <w:r>
              <w:rPr>
                <w:rFonts w:hint="default" w:hAnsi="宋体" w:cs="Times New Roman"/>
                <w:sz w:val="21"/>
                <w:szCs w:val="21"/>
                <w:u w:val="single"/>
              </w:rPr>
              <w:t xml:space="preserve"> </w:t>
            </w:r>
            <w:r>
              <w:rPr>
                <w:rFonts w:hint="eastAsia" w:ascii="Arial" w:hAnsi="Arial" w:eastAsia="Arial Unicode MS" w:cs="Arial"/>
                <w:sz w:val="21"/>
                <w:szCs w:val="21"/>
                <w:u w:val="single"/>
                <w:lang w:val="en-US" w:eastAsia="zh-CN"/>
              </w:rPr>
              <w:t>14</w:t>
            </w:r>
            <w:r>
              <w:rPr>
                <w:rFonts w:hint="default" w:hAnsi="宋体" w:cs="Times New Roman"/>
                <w:sz w:val="21"/>
                <w:szCs w:val="21"/>
                <w:u w:val="single"/>
              </w:rPr>
              <w:t xml:space="preserve"> </w:t>
            </w:r>
            <w:r>
              <w:rPr>
                <w:rFonts w:hint="eastAsia" w:hAnsi="宋体" w:cs="Times New Roman"/>
                <w:sz w:val="21"/>
                <w:szCs w:val="21"/>
              </w:rPr>
              <w:t>时</w:t>
            </w:r>
            <w:r>
              <w:rPr>
                <w:rFonts w:hint="default" w:ascii="Arial Unicode MS" w:hAnsi="Arial Unicode MS" w:eastAsia="Arial Unicode MS" w:cs="Arial Unicode MS"/>
                <w:sz w:val="21"/>
                <w:szCs w:val="21"/>
                <w:u w:val="single"/>
              </w:rPr>
              <w:t xml:space="preserve"> </w:t>
            </w:r>
            <w:r>
              <w:rPr>
                <w:rFonts w:hint="eastAsia" w:ascii="Arial" w:hAnsi="Arial" w:eastAsia="Arial Unicode MS" w:cs="Arial"/>
                <w:sz w:val="21"/>
                <w:szCs w:val="21"/>
                <w:u w:val="single"/>
                <w:lang w:val="en-US" w:eastAsia="zh-CN"/>
              </w:rPr>
              <w:t>0</w:t>
            </w:r>
            <w:r>
              <w:rPr>
                <w:rFonts w:hint="default" w:ascii="Arial" w:hAnsi="Arial" w:eastAsia="Arial Unicode MS" w:cs="Arial"/>
                <w:sz w:val="21"/>
                <w:szCs w:val="21"/>
                <w:u w:val="single"/>
              </w:rPr>
              <w:t>0</w:t>
            </w:r>
            <w:r>
              <w:rPr>
                <w:rFonts w:hint="default" w:hAnsi="宋体" w:cs="Times New Roman"/>
                <w:sz w:val="21"/>
                <w:szCs w:val="21"/>
                <w:u w:val="single"/>
              </w:rPr>
              <w:t xml:space="preserve"> </w:t>
            </w:r>
            <w:r>
              <w:rPr>
                <w:rFonts w:hint="eastAsia" w:hAnsi="宋体"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2.2.2</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投标人</w:t>
            </w:r>
            <w:r>
              <w:rPr>
                <w:rFonts w:hint="default" w:ascii="宋体" w:hAnsi="宋体"/>
                <w:color w:val="000000"/>
                <w:sz w:val="21"/>
                <w:szCs w:val="21"/>
              </w:rPr>
              <w:t>提出</w:t>
            </w:r>
            <w:r>
              <w:rPr>
                <w:rFonts w:hint="eastAsia" w:ascii="宋体" w:hAnsi="宋体"/>
                <w:color w:val="000000"/>
                <w:sz w:val="21"/>
                <w:szCs w:val="21"/>
              </w:rPr>
              <w:t>疑义</w:t>
            </w:r>
            <w:r>
              <w:rPr>
                <w:rFonts w:hint="default" w:ascii="宋体" w:hAnsi="宋体"/>
                <w:color w:val="000000"/>
                <w:sz w:val="21"/>
                <w:szCs w:val="21"/>
              </w:rPr>
              <w:t>的截止时间</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color w:val="000000"/>
                <w:sz w:val="21"/>
                <w:szCs w:val="21"/>
              </w:rPr>
            </w:pPr>
            <w:r>
              <w:rPr>
                <w:rFonts w:hint="default" w:ascii="宋体" w:hAnsi="宋体"/>
                <w:sz w:val="21"/>
                <w:szCs w:val="21"/>
              </w:rPr>
              <w:t>递交</w:t>
            </w:r>
            <w:r>
              <w:rPr>
                <w:rFonts w:hint="eastAsia" w:ascii="宋体" w:hAnsi="宋体"/>
                <w:sz w:val="21"/>
                <w:szCs w:val="21"/>
              </w:rPr>
              <w:t>投标</w:t>
            </w:r>
            <w:r>
              <w:rPr>
                <w:rFonts w:hint="default" w:ascii="宋体" w:hAnsi="宋体"/>
                <w:sz w:val="21"/>
                <w:szCs w:val="21"/>
              </w:rPr>
              <w:t>文件的截止之日</w:t>
            </w:r>
            <w:r>
              <w:rPr>
                <w:rFonts w:hint="default" w:cs="Arial"/>
                <w:sz w:val="21"/>
                <w:szCs w:val="21"/>
                <w:u w:val="single"/>
              </w:rPr>
              <w:t>15</w:t>
            </w:r>
            <w:r>
              <w:rPr>
                <w:rFonts w:hint="default" w:ascii="宋体" w:hAnsi="宋体"/>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3.3.2</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报价</w:t>
            </w:r>
            <w:r>
              <w:rPr>
                <w:rFonts w:hint="default" w:ascii="宋体" w:hAnsi="宋体"/>
                <w:color w:val="000000"/>
                <w:sz w:val="21"/>
                <w:szCs w:val="21"/>
              </w:rPr>
              <w:t>方式及控制价（</w:t>
            </w:r>
            <w:r>
              <w:rPr>
                <w:rFonts w:hint="eastAsia" w:ascii="宋体" w:hAnsi="宋体"/>
                <w:color w:val="000000"/>
                <w:sz w:val="21"/>
                <w:szCs w:val="21"/>
              </w:rPr>
              <w:t>或</w:t>
            </w:r>
            <w:r>
              <w:rPr>
                <w:rFonts w:hint="default" w:ascii="宋体" w:hAnsi="宋体"/>
                <w:color w:val="000000"/>
                <w:sz w:val="21"/>
                <w:szCs w:val="21"/>
              </w:rPr>
              <w:t>其他控制条件）</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000000"/>
                <w:sz w:val="21"/>
                <w:szCs w:val="21"/>
                <w:highlight w:val="yellow"/>
              </w:rPr>
            </w:pPr>
            <w:r>
              <w:rPr>
                <w:rFonts w:hint="eastAsia" w:ascii="宋体" w:hAnsi="宋体"/>
                <w:sz w:val="21"/>
                <w:szCs w:val="21"/>
              </w:rPr>
              <w:t>招标控制价上限为：</w:t>
            </w:r>
            <w:r>
              <w:rPr>
                <w:rFonts w:hint="eastAsia" w:ascii="宋体" w:hAnsi="宋体"/>
                <w:b/>
                <w:bCs/>
                <w:sz w:val="21"/>
                <w:szCs w:val="21"/>
                <w:lang w:val="en-US" w:eastAsia="zh-CN"/>
              </w:rPr>
              <w:t>合理利润率6.80%（最高为6.80%），年度折现率5.39%（最高为5.39%），建筑安装工程费下浮率1.00%（最低为1.00%），运营成本下浮率（最低为0.00%）。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3.5.5</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采购人</w:t>
            </w:r>
            <w:r>
              <w:rPr>
                <w:rFonts w:hint="default" w:ascii="宋体" w:hAnsi="宋体"/>
                <w:color w:val="000000"/>
                <w:sz w:val="21"/>
                <w:szCs w:val="21"/>
              </w:rPr>
              <w:t>特殊要求</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000000"/>
                <w:sz w:val="21"/>
                <w:szCs w:val="21"/>
              </w:rPr>
            </w:pPr>
            <w:r>
              <w:rPr>
                <w:rFonts w:hint="eastAsia"/>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3.6.1</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投标有效期</w:t>
            </w:r>
          </w:p>
        </w:tc>
        <w:tc>
          <w:tcPr>
            <w:tcW w:w="5590" w:type="dxa"/>
            <w:vAlign w:val="center"/>
          </w:tcPr>
          <w:p>
            <w:pPr>
              <w:keepNext w:val="0"/>
              <w:keepLines w:val="0"/>
              <w:pageBreakBefore w:val="0"/>
              <w:suppressLineNumbers w:val="0"/>
              <w:kinsoku/>
              <w:bidi w:val="0"/>
              <w:spacing w:before="50" w:beforeAutospacing="0" w:after="0" w:afterAutospacing="0" w:line="360" w:lineRule="auto"/>
              <w:ind w:left="0" w:right="35" w:firstLine="0" w:firstLineChars="0"/>
              <w:textAlignment w:val="auto"/>
              <w:rPr>
                <w:rFonts w:hint="default"/>
                <w:sz w:val="21"/>
                <w:szCs w:val="21"/>
              </w:rPr>
            </w:pPr>
            <w:r>
              <w:rPr>
                <w:rFonts w:hint="eastAsia" w:ascii="宋体" w:hAnsi="宋体"/>
                <w:spacing w:val="1"/>
                <w:kern w:val="0"/>
                <w:sz w:val="21"/>
                <w:szCs w:val="21"/>
              </w:rPr>
              <w:t>投标截止日期起</w:t>
            </w:r>
            <w:r>
              <w:rPr>
                <w:rFonts w:hint="default" w:ascii="Arial Unicode MS" w:hAnsi="Arial Unicode MS" w:eastAsia="Arial Unicode MS" w:cs="Arial Unicode MS"/>
                <w:spacing w:val="1"/>
                <w:kern w:val="0"/>
                <w:sz w:val="21"/>
                <w:szCs w:val="21"/>
              </w:rPr>
              <w:t>150</w:t>
            </w:r>
            <w:r>
              <w:rPr>
                <w:rFonts w:hint="eastAsia" w:ascii="Arial Unicode MS" w:hAnsi="Arial Unicode MS" w:eastAsia="Arial Unicode MS" w:cs="Arial Unicode MS"/>
                <w:spacing w:val="1"/>
                <w:kern w:val="0"/>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3.6.</w:t>
            </w:r>
            <w:r>
              <w:rPr>
                <w:rFonts w:hint="default" w:ascii="Arial Unicode MS" w:hAnsi="Arial Unicode MS" w:eastAsia="Arial Unicode MS" w:cs="Arial Unicode MS"/>
                <w:color w:val="000000"/>
                <w:sz w:val="21"/>
                <w:szCs w:val="21"/>
              </w:rPr>
              <w:t>2</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采购人书面澄清的时间</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color w:val="000000"/>
                <w:sz w:val="21"/>
                <w:szCs w:val="21"/>
              </w:rPr>
            </w:pPr>
            <w:r>
              <w:rPr>
                <w:rFonts w:hint="default" w:ascii="宋体" w:hAnsi="宋体"/>
                <w:sz w:val="21"/>
                <w:szCs w:val="21"/>
              </w:rPr>
              <w:t>递交</w:t>
            </w:r>
            <w:r>
              <w:rPr>
                <w:rFonts w:hint="eastAsia" w:ascii="宋体" w:hAnsi="宋体"/>
                <w:sz w:val="21"/>
                <w:szCs w:val="21"/>
              </w:rPr>
              <w:t>投标</w:t>
            </w:r>
            <w:r>
              <w:rPr>
                <w:rFonts w:hint="default" w:ascii="宋体" w:hAnsi="宋体"/>
                <w:sz w:val="21"/>
                <w:szCs w:val="21"/>
              </w:rPr>
              <w:t>文件的截止之日</w:t>
            </w:r>
            <w:r>
              <w:rPr>
                <w:rFonts w:hint="default" w:ascii="Arial Unicode MS" w:hAnsi="Arial Unicode MS" w:eastAsia="Arial Unicode MS" w:cs="Arial Unicode MS"/>
                <w:sz w:val="21"/>
                <w:szCs w:val="21"/>
                <w:u w:val="single"/>
              </w:rPr>
              <w:t>15</w:t>
            </w:r>
            <w:r>
              <w:rPr>
                <w:rFonts w:hint="default" w:ascii="宋体" w:hAnsi="宋体"/>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3.6.</w:t>
            </w:r>
            <w:r>
              <w:rPr>
                <w:rFonts w:hint="default" w:ascii="Arial Unicode MS" w:hAnsi="Arial Unicode MS" w:eastAsia="Arial Unicode MS" w:cs="Arial Unicode MS"/>
                <w:color w:val="000000"/>
                <w:sz w:val="21"/>
                <w:szCs w:val="21"/>
              </w:rPr>
              <w:t>3</w:t>
            </w:r>
          </w:p>
        </w:tc>
        <w:tc>
          <w:tcPr>
            <w:tcW w:w="2285" w:type="dxa"/>
            <w:gridSpan w:val="2"/>
            <w:vAlign w:val="center"/>
          </w:tcPr>
          <w:p>
            <w:pPr>
              <w:pStyle w:val="66"/>
              <w:keepNext w:val="0"/>
              <w:keepLines w:val="0"/>
              <w:pageBreakBefore w:val="0"/>
              <w:suppressLineNumbers w:val="0"/>
              <w:kinsoku/>
              <w:bidi w:val="0"/>
              <w:snapToGrid w:val="0"/>
              <w:spacing w:before="0" w:beforeAutospacing="0" w:after="0" w:afterAutospacing="0" w:line="360" w:lineRule="auto"/>
              <w:ind w:left="0" w:right="0"/>
              <w:jc w:val="center"/>
              <w:textAlignment w:val="auto"/>
              <w:rPr>
                <w:rFonts w:hint="default" w:hAnsi="宋体" w:cs="Times New Roman"/>
                <w:sz w:val="21"/>
                <w:szCs w:val="21"/>
              </w:rPr>
            </w:pPr>
            <w:r>
              <w:rPr>
                <w:rFonts w:hint="eastAsia" w:hAnsi="宋体" w:cs="Times New Roman"/>
                <w:color w:val="auto"/>
                <w:sz w:val="21"/>
                <w:szCs w:val="21"/>
              </w:rPr>
              <w:t>申请人</w:t>
            </w:r>
            <w:r>
              <w:rPr>
                <w:rFonts w:hint="default" w:hAnsi="宋体" w:cs="Times New Roman"/>
                <w:sz w:val="21"/>
                <w:szCs w:val="21"/>
              </w:rPr>
              <w:t>需补充的其他材料</w:t>
            </w:r>
          </w:p>
        </w:tc>
        <w:tc>
          <w:tcPr>
            <w:tcW w:w="5590" w:type="dxa"/>
            <w:vAlign w:val="center"/>
          </w:tcPr>
          <w:p>
            <w:pPr>
              <w:pStyle w:val="66"/>
              <w:keepNext w:val="0"/>
              <w:keepLines w:val="0"/>
              <w:pageBreakBefore w:val="0"/>
              <w:suppressLineNumbers w:val="0"/>
              <w:kinsoku/>
              <w:bidi w:val="0"/>
              <w:snapToGrid w:val="0"/>
              <w:spacing w:before="0" w:beforeAutospacing="0" w:after="0" w:afterAutospacing="0" w:line="360" w:lineRule="auto"/>
              <w:ind w:left="0" w:right="0"/>
              <w:textAlignment w:val="auto"/>
              <w:rPr>
                <w:rFonts w:hint="default" w:hAnsi="宋体" w:cs="Times New Roman"/>
                <w:sz w:val="21"/>
                <w:szCs w:val="21"/>
              </w:rPr>
            </w:pPr>
            <w:r>
              <w:rPr>
                <w:rFonts w:hint="eastAsia" w:hAnsi="宋体" w:cs="Times New Roman"/>
                <w:color w:val="auto"/>
                <w:sz w:val="21"/>
                <w:szCs w:val="21"/>
              </w:rPr>
              <w:t>申请人认为有必要提交的其他证明材料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3.7.1</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FF0000"/>
                <w:sz w:val="21"/>
                <w:szCs w:val="21"/>
              </w:rPr>
            </w:pPr>
            <w:r>
              <w:rPr>
                <w:rFonts w:hint="eastAsia" w:ascii="宋体" w:hAnsi="宋体"/>
                <w:color w:val="auto"/>
                <w:sz w:val="21"/>
                <w:szCs w:val="21"/>
              </w:rPr>
              <w:t>投标保证金</w:t>
            </w:r>
          </w:p>
        </w:tc>
        <w:tc>
          <w:tcPr>
            <w:tcW w:w="5590" w:type="dxa"/>
            <w:vAlign w:val="center"/>
          </w:tcPr>
          <w:p>
            <w:pPr>
              <w:keepNext w:val="0"/>
              <w:keepLines w:val="0"/>
              <w:pageBreakBefore w:val="0"/>
              <w:suppressLineNumbers w:val="0"/>
              <w:kinsoku/>
              <w:autoSpaceDE w:val="0"/>
              <w:autoSpaceDN w:val="0"/>
              <w:bidi w:val="0"/>
              <w:spacing w:before="0" w:beforeAutospacing="0" w:after="0" w:afterAutospacing="0" w:line="360" w:lineRule="auto"/>
              <w:ind w:left="0" w:right="0" w:firstLine="0" w:firstLineChars="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投标保证金的递交形式：投标人必须采取转账的形式，并且须从本单位基本账户转出。</w:t>
            </w:r>
          </w:p>
          <w:p>
            <w:pPr>
              <w:keepNext w:val="0"/>
              <w:keepLines w:val="0"/>
              <w:pageBreakBefore w:val="0"/>
              <w:suppressLineNumbers w:val="0"/>
              <w:kinsoku/>
              <w:autoSpaceDE w:val="0"/>
              <w:autoSpaceDN w:val="0"/>
              <w:bidi w:val="0"/>
              <w:spacing w:before="0" w:beforeAutospacing="0" w:after="0" w:afterAutospacing="0" w:line="360" w:lineRule="auto"/>
              <w:ind w:left="0" w:right="0" w:firstLine="0" w:firstLineChars="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投标保证金的金额：</w:t>
            </w:r>
            <w:r>
              <w:rPr>
                <w:rFonts w:hint="eastAsia" w:ascii="宋体" w:hAnsi="宋体" w:cs="Times New Roman"/>
                <w:color w:val="auto"/>
                <w:kern w:val="0"/>
                <w:sz w:val="21"/>
                <w:szCs w:val="21"/>
                <w:lang w:val="en-US" w:eastAsia="zh-CN" w:bidi="ar-SA"/>
              </w:rPr>
              <w:t>2500000.00</w:t>
            </w:r>
            <w:r>
              <w:rPr>
                <w:rFonts w:hint="eastAsia" w:ascii="宋体" w:hAnsi="宋体" w:eastAsia="宋体" w:cs="Times New Roman"/>
                <w:color w:val="auto"/>
                <w:kern w:val="0"/>
                <w:sz w:val="21"/>
                <w:szCs w:val="21"/>
                <w:lang w:val="en-US" w:eastAsia="zh-CN" w:bidi="ar-SA"/>
              </w:rPr>
              <w:t>元（</w:t>
            </w:r>
            <w:r>
              <w:rPr>
                <w:rFonts w:hint="eastAsia" w:ascii="宋体" w:hAnsi="宋体" w:cs="Times New Roman"/>
                <w:color w:val="auto"/>
                <w:kern w:val="0"/>
                <w:sz w:val="21"/>
                <w:szCs w:val="21"/>
                <w:lang w:val="en-US" w:eastAsia="zh-CN" w:bidi="ar-SA"/>
              </w:rPr>
              <w:t>贰佰伍拾</w:t>
            </w:r>
            <w:r>
              <w:rPr>
                <w:rFonts w:hint="eastAsia" w:ascii="宋体" w:hAnsi="宋体" w:eastAsia="宋体" w:cs="Times New Roman"/>
                <w:color w:val="auto"/>
                <w:kern w:val="0"/>
                <w:sz w:val="21"/>
                <w:szCs w:val="21"/>
                <w:lang w:val="en-US" w:eastAsia="zh-CN" w:bidi="ar-SA"/>
              </w:rPr>
              <w:t>万元人民币）</w:t>
            </w:r>
          </w:p>
          <w:p>
            <w:pPr>
              <w:keepNext w:val="0"/>
              <w:keepLines w:val="0"/>
              <w:pageBreakBefore w:val="0"/>
              <w:suppressLineNumbers w:val="0"/>
              <w:kinsoku/>
              <w:autoSpaceDE w:val="0"/>
              <w:autoSpaceDN w:val="0"/>
              <w:bidi w:val="0"/>
              <w:spacing w:before="0" w:beforeAutospacing="0" w:after="0" w:afterAutospacing="0" w:line="360" w:lineRule="auto"/>
              <w:ind w:left="0" w:right="0" w:firstLine="0" w:firstLineChars="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缴纳名称：</w:t>
            </w:r>
            <w:r>
              <w:rPr>
                <w:rFonts w:hint="eastAsia" w:ascii="宋体" w:hAnsi="宋体" w:cs="Times New Roman"/>
                <w:color w:val="auto"/>
                <w:kern w:val="0"/>
                <w:sz w:val="21"/>
                <w:szCs w:val="21"/>
                <w:lang w:val="en-US" w:eastAsia="zh-CN" w:bidi="ar-SA"/>
              </w:rPr>
              <w:t>登封市公共资源交易中心</w:t>
            </w:r>
          </w:p>
          <w:p>
            <w:pPr>
              <w:keepNext w:val="0"/>
              <w:keepLines w:val="0"/>
              <w:pageBreakBefore w:val="0"/>
              <w:suppressLineNumbers w:val="0"/>
              <w:kinsoku/>
              <w:autoSpaceDE w:val="0"/>
              <w:autoSpaceDN w:val="0"/>
              <w:bidi w:val="0"/>
              <w:spacing w:before="0" w:beforeAutospacing="0" w:after="0" w:afterAutospacing="0" w:line="360" w:lineRule="auto"/>
              <w:ind w:left="0" w:right="0" w:firstLine="0" w:firstLineChars="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开 户 行:</w:t>
            </w:r>
            <w:r>
              <w:rPr>
                <w:rFonts w:hint="eastAsia" w:ascii="宋体" w:hAnsi="宋体" w:cs="Times New Roman"/>
                <w:color w:val="auto"/>
                <w:kern w:val="0"/>
                <w:sz w:val="21"/>
                <w:szCs w:val="21"/>
                <w:lang w:val="en-US" w:eastAsia="zh-CN" w:bidi="ar-SA"/>
              </w:rPr>
              <w:t>中信银行登封市支行</w:t>
            </w:r>
          </w:p>
          <w:p>
            <w:pPr>
              <w:keepNext w:val="0"/>
              <w:keepLines w:val="0"/>
              <w:pageBreakBefore w:val="0"/>
              <w:suppressLineNumbers w:val="0"/>
              <w:kinsoku/>
              <w:autoSpaceDE w:val="0"/>
              <w:autoSpaceDN w:val="0"/>
              <w:bidi w:val="0"/>
              <w:spacing w:before="0" w:beforeAutospacing="0" w:after="0" w:afterAutospacing="0" w:line="360" w:lineRule="auto"/>
              <w:ind w:left="0" w:right="0" w:firstLine="0" w:firstLineChars="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账    号：</w:t>
            </w:r>
            <w:r>
              <w:rPr>
                <w:rFonts w:hint="eastAsia" w:ascii="宋体" w:hAnsi="宋体" w:cs="Times New Roman"/>
                <w:color w:val="auto"/>
                <w:kern w:val="0"/>
                <w:sz w:val="21"/>
                <w:szCs w:val="21"/>
                <w:lang w:val="en-US" w:eastAsia="zh-CN" w:bidi="ar-SA"/>
              </w:rPr>
              <w:t>3111  1100  4347  0000  588</w:t>
            </w:r>
          </w:p>
          <w:p>
            <w:pPr>
              <w:keepNext w:val="0"/>
              <w:keepLines w:val="0"/>
              <w:pageBreakBefore w:val="0"/>
              <w:suppressLineNumbers w:val="0"/>
              <w:kinsoku/>
              <w:autoSpaceDE w:val="0"/>
              <w:autoSpaceDN w:val="0"/>
              <w:bidi w:val="0"/>
              <w:spacing w:before="0" w:beforeAutospacing="0" w:after="0" w:afterAutospacing="0" w:line="360" w:lineRule="auto"/>
              <w:ind w:left="0" w:right="0" w:firstLine="0" w:firstLineChars="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请</w:t>
            </w:r>
            <w:r>
              <w:rPr>
                <w:rFonts w:hint="eastAsia" w:ascii="宋体" w:hAnsi="宋体" w:cs="Times New Roman"/>
                <w:color w:val="auto"/>
                <w:kern w:val="0"/>
                <w:sz w:val="21"/>
                <w:szCs w:val="21"/>
                <w:lang w:val="en-US" w:eastAsia="zh-CN" w:bidi="ar-SA"/>
              </w:rPr>
              <w:t>申请</w:t>
            </w:r>
            <w:r>
              <w:rPr>
                <w:rFonts w:hint="eastAsia" w:ascii="宋体" w:hAnsi="宋体" w:eastAsia="宋体" w:cs="Times New Roman"/>
                <w:color w:val="auto"/>
                <w:kern w:val="0"/>
                <w:sz w:val="21"/>
                <w:szCs w:val="21"/>
                <w:lang w:val="en-US" w:eastAsia="zh-CN" w:bidi="ar-SA"/>
              </w:rPr>
              <w:t>人在投标截止时间前，按</w:t>
            </w:r>
            <w:r>
              <w:rPr>
                <w:rFonts w:hint="eastAsia" w:ascii="宋体" w:hAnsi="宋体" w:cs="Times New Roman"/>
                <w:color w:val="auto"/>
                <w:kern w:val="0"/>
                <w:sz w:val="21"/>
                <w:szCs w:val="21"/>
                <w:lang w:val="en-US" w:eastAsia="zh-CN" w:bidi="ar-SA"/>
              </w:rPr>
              <w:t>照</w:t>
            </w:r>
            <w:r>
              <w:rPr>
                <w:rFonts w:hint="eastAsia" w:ascii="宋体" w:hAnsi="宋体" w:eastAsia="宋体" w:cs="Times New Roman"/>
                <w:color w:val="auto"/>
                <w:kern w:val="0"/>
                <w:sz w:val="21"/>
                <w:szCs w:val="21"/>
                <w:lang w:val="en-US" w:eastAsia="zh-CN" w:bidi="ar-SA"/>
              </w:rPr>
              <w:t>文件的要求</w:t>
            </w:r>
            <w:r>
              <w:rPr>
                <w:rFonts w:hint="eastAsia" w:ascii="宋体" w:hAnsi="宋体" w:cs="Times New Roman"/>
                <w:color w:val="auto"/>
                <w:kern w:val="0"/>
                <w:sz w:val="21"/>
                <w:szCs w:val="21"/>
                <w:lang w:val="en-US" w:eastAsia="zh-CN" w:bidi="ar-SA"/>
              </w:rPr>
              <w:t>一次性足额交纳</w:t>
            </w:r>
            <w:r>
              <w:rPr>
                <w:rFonts w:hint="eastAsia" w:ascii="宋体" w:hAnsi="宋体" w:eastAsia="宋体" w:cs="Times New Roman"/>
                <w:color w:val="auto"/>
                <w:kern w:val="0"/>
                <w:sz w:val="21"/>
                <w:szCs w:val="21"/>
                <w:lang w:val="en-US" w:eastAsia="zh-CN" w:bidi="ar-SA"/>
              </w:rPr>
              <w:t>投标保证金，投标截止时间之后递交的投标保证金将被拒绝。</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FF0000"/>
                <w:sz w:val="21"/>
                <w:szCs w:val="21"/>
              </w:rPr>
            </w:pPr>
            <w:r>
              <w:rPr>
                <w:rFonts w:hint="eastAsia" w:ascii="宋体" w:hAnsi="宋体" w:cs="Times New Roman"/>
                <w:color w:val="auto"/>
                <w:kern w:val="0"/>
                <w:sz w:val="21"/>
                <w:szCs w:val="21"/>
                <w:lang w:val="en-US" w:eastAsia="zh-CN" w:bidi="ar-SA"/>
              </w:rPr>
              <w:t>申请人</w:t>
            </w:r>
            <w:r>
              <w:rPr>
                <w:rFonts w:hint="eastAsia" w:ascii="宋体" w:hAnsi="宋体" w:eastAsia="宋体" w:cs="Times New Roman"/>
                <w:color w:val="auto"/>
                <w:kern w:val="0"/>
                <w:sz w:val="21"/>
                <w:szCs w:val="21"/>
                <w:lang w:val="en-US" w:eastAsia="zh-CN" w:bidi="ar-SA"/>
              </w:rPr>
              <w:t>缴纳投标保证金时，务必在用途栏中注明项目名称。未在用途栏注明或注明错误的，导致该项目投标保证金无法确认，由此产生的后果由投标单位自负。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3.7.2</w:t>
            </w:r>
          </w:p>
        </w:tc>
        <w:tc>
          <w:tcPr>
            <w:tcW w:w="2285" w:type="dxa"/>
            <w:gridSpan w:val="2"/>
            <w:vAlign w:val="center"/>
          </w:tcPr>
          <w:p>
            <w:pPr>
              <w:keepNext w:val="0"/>
              <w:keepLines w:val="0"/>
              <w:pageBreakBefore w:val="0"/>
              <w:suppressLineNumbers w:val="0"/>
              <w:kinsoku/>
              <w:bidi w:val="0"/>
              <w:spacing w:before="0" w:beforeAutospacing="0" w:after="0" w:afterAutospacing="0" w:line="24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投标人确认收到招标文件澄清的时间</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000000"/>
                <w:sz w:val="21"/>
                <w:szCs w:val="21"/>
                <w:u w:val="single"/>
              </w:rPr>
            </w:pPr>
            <w:r>
              <w:rPr>
                <w:rFonts w:hint="eastAsia"/>
                <w:color w:val="000000"/>
                <w:sz w:val="21"/>
                <w:szCs w:val="21"/>
              </w:rPr>
              <w:t>在收到相应澄清文件后</w:t>
            </w:r>
            <w:r>
              <w:rPr>
                <w:rFonts w:hint="eastAsia"/>
                <w:color w:val="000000"/>
                <w:sz w:val="21"/>
                <w:szCs w:val="21"/>
                <w:u w:val="single"/>
              </w:rPr>
              <w:t xml:space="preserve"> 24 </w:t>
            </w:r>
            <w:r>
              <w:rPr>
                <w:rFonts w:hint="eastAsia"/>
                <w:color w:val="000000"/>
                <w:sz w:val="21"/>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3.7.3</w:t>
            </w:r>
          </w:p>
        </w:tc>
        <w:tc>
          <w:tcPr>
            <w:tcW w:w="2285" w:type="dxa"/>
            <w:gridSpan w:val="2"/>
            <w:vAlign w:val="center"/>
          </w:tcPr>
          <w:p>
            <w:pPr>
              <w:keepNext w:val="0"/>
              <w:keepLines w:val="0"/>
              <w:pageBreakBefore w:val="0"/>
              <w:suppressLineNumbers w:val="0"/>
              <w:kinsoku/>
              <w:bidi w:val="0"/>
              <w:spacing w:before="0" w:beforeAutospacing="0" w:after="0" w:afterAutospacing="0" w:line="24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投标人确认收到招标文件修改的时间</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000000"/>
                <w:sz w:val="21"/>
                <w:szCs w:val="21"/>
              </w:rPr>
            </w:pPr>
            <w:r>
              <w:rPr>
                <w:rFonts w:hint="eastAsia"/>
                <w:color w:val="000000"/>
                <w:sz w:val="21"/>
                <w:szCs w:val="21"/>
              </w:rPr>
              <w:t>在收到相应修改文件后</w:t>
            </w:r>
            <w:r>
              <w:rPr>
                <w:rFonts w:hint="eastAsia"/>
                <w:color w:val="000000"/>
                <w:sz w:val="21"/>
                <w:szCs w:val="21"/>
                <w:u w:val="single"/>
              </w:rPr>
              <w:t xml:space="preserve"> 24</w:t>
            </w:r>
            <w:r>
              <w:rPr>
                <w:rFonts w:hint="eastAsia"/>
                <w:color w:val="000000"/>
                <w:sz w:val="21"/>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3.8.5</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投标文件</w:t>
            </w:r>
            <w:r>
              <w:rPr>
                <w:rFonts w:hint="default" w:ascii="宋体" w:hAnsi="宋体"/>
                <w:color w:val="000000"/>
                <w:sz w:val="21"/>
                <w:szCs w:val="21"/>
              </w:rPr>
              <w:t>的</w:t>
            </w:r>
            <w:r>
              <w:rPr>
                <w:rFonts w:hint="eastAsia" w:ascii="宋体" w:hAnsi="宋体"/>
                <w:color w:val="000000"/>
                <w:sz w:val="21"/>
                <w:szCs w:val="21"/>
              </w:rPr>
              <w:t>份数</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color w:val="000000"/>
                <w:sz w:val="21"/>
                <w:szCs w:val="21"/>
              </w:rPr>
            </w:pPr>
            <w:r>
              <w:rPr>
                <w:rFonts w:hint="default" w:ascii="宋体" w:hAnsi="宋体"/>
                <w:sz w:val="21"/>
                <w:szCs w:val="21"/>
              </w:rPr>
              <w:t>正本壹份，副本</w:t>
            </w:r>
            <w:r>
              <w:rPr>
                <w:rFonts w:hint="eastAsia" w:ascii="宋体" w:hAnsi="宋体"/>
                <w:sz w:val="21"/>
                <w:szCs w:val="21"/>
                <w:lang w:val="en-US" w:eastAsia="zh-CN"/>
              </w:rPr>
              <w:t>陆</w:t>
            </w:r>
            <w:r>
              <w:rPr>
                <w:rFonts w:hint="default" w:ascii="宋体" w:hAnsi="宋体"/>
                <w:sz w:val="21"/>
                <w:szCs w:val="21"/>
              </w:rPr>
              <w:t>份（另包含电子版</w:t>
            </w:r>
            <w:r>
              <w:rPr>
                <w:rFonts w:hint="eastAsia" w:ascii="宋体" w:hAnsi="宋体"/>
                <w:sz w:val="21"/>
                <w:szCs w:val="21"/>
                <w:lang w:val="en-US" w:eastAsia="zh-CN"/>
              </w:rPr>
              <w:t>贰</w:t>
            </w:r>
            <w:r>
              <w:rPr>
                <w:rFonts w:hint="default" w:ascii="宋体" w:hAnsi="宋体"/>
                <w:sz w:val="21"/>
                <w:szCs w:val="21"/>
              </w:rPr>
              <w:t>份，用U盘拷贝</w:t>
            </w:r>
            <w:r>
              <w:rPr>
                <w:rFonts w:hint="eastAsia" w:ascii="宋体" w:hAnsi="宋体"/>
                <w:sz w:val="21"/>
                <w:szCs w:val="21"/>
                <w:lang w:eastAsia="zh-CN"/>
              </w:rPr>
              <w:t>，</w:t>
            </w:r>
            <w:r>
              <w:rPr>
                <w:rFonts w:hint="eastAsia" w:ascii="宋体" w:hAnsi="宋体"/>
                <w:sz w:val="21"/>
                <w:szCs w:val="21"/>
                <w:lang w:val="en-US" w:eastAsia="zh-CN"/>
              </w:rPr>
              <w:t>内容应为正本的完整扫描件PDF格式，另一份为WORD格式</w:t>
            </w:r>
            <w:r>
              <w:rPr>
                <w:rFonts w:hint="default"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3.8.6</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装订要求</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color w:val="000000"/>
                <w:sz w:val="21"/>
                <w:szCs w:val="21"/>
              </w:rPr>
            </w:pPr>
            <w:r>
              <w:rPr>
                <w:rFonts w:hint="default" w:ascii="宋体" w:hAnsi="宋体"/>
                <w:sz w:val="21"/>
                <w:szCs w:val="21"/>
              </w:rPr>
              <w:t>胶装，编制目录（对应页码），装订成册，不可拆封。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3.8.7</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是否允许递交备选投标方案</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000000"/>
                <w:sz w:val="21"/>
                <w:szCs w:val="21"/>
              </w:rPr>
            </w:pPr>
            <w:r>
              <w:rPr>
                <w:rFonts w:hint="eastAsia"/>
                <w:color w:val="00000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3.8.8</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签字和（或）盖章要求</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000000"/>
                <w:sz w:val="21"/>
                <w:szCs w:val="21"/>
              </w:rPr>
            </w:pPr>
            <w:r>
              <w:rPr>
                <w:rFonts w:hint="eastAsia"/>
                <w:color w:val="000000"/>
                <w:sz w:val="21"/>
                <w:szCs w:val="21"/>
              </w:rPr>
              <w:t>按投标文件格式要求执行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3.8.9</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是否退还投标文件</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000000"/>
                <w:sz w:val="21"/>
                <w:szCs w:val="21"/>
                <w:u w:val="single"/>
              </w:rPr>
            </w:pPr>
            <w:r>
              <w:rPr>
                <w:rFonts w:hint="eastAsia"/>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4.1.2</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封套上写明</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sz w:val="21"/>
                <w:szCs w:val="21"/>
              </w:rPr>
            </w:pPr>
            <w:r>
              <w:rPr>
                <w:rFonts w:hint="eastAsia" w:ascii="宋体" w:hAnsi="宋体"/>
                <w:sz w:val="21"/>
                <w:szCs w:val="21"/>
              </w:rPr>
              <w:t>采购人</w:t>
            </w:r>
            <w:r>
              <w:rPr>
                <w:rFonts w:hint="default" w:ascii="宋体" w:hAnsi="宋体"/>
                <w:sz w:val="21"/>
                <w:szCs w:val="21"/>
              </w:rPr>
              <w:t>的地址：</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sz w:val="21"/>
                <w:szCs w:val="21"/>
              </w:rPr>
            </w:pPr>
            <w:r>
              <w:rPr>
                <w:rFonts w:hint="eastAsia" w:ascii="宋体" w:hAnsi="宋体"/>
                <w:sz w:val="21"/>
                <w:szCs w:val="21"/>
              </w:rPr>
              <w:t>采购人</w:t>
            </w:r>
            <w:r>
              <w:rPr>
                <w:rFonts w:hint="default" w:ascii="宋体" w:hAnsi="宋体"/>
                <w:sz w:val="21"/>
                <w:szCs w:val="21"/>
              </w:rPr>
              <w:t>的姓名：</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sz w:val="21"/>
                <w:szCs w:val="21"/>
              </w:rPr>
            </w:pPr>
            <w:r>
              <w:rPr>
                <w:rFonts w:hint="eastAsia" w:ascii="宋体" w:hAnsi="宋体"/>
                <w:sz w:val="21"/>
                <w:szCs w:val="21"/>
              </w:rPr>
              <w:t>（项目名称</w:t>
            </w:r>
            <w:r>
              <w:rPr>
                <w:rFonts w:hint="default" w:ascii="宋体" w:hAnsi="宋体"/>
                <w:sz w:val="21"/>
                <w:szCs w:val="21"/>
              </w:rPr>
              <w:t>）</w:t>
            </w:r>
            <w:r>
              <w:rPr>
                <w:rFonts w:hint="eastAsia" w:ascii="宋体" w:hAnsi="宋体"/>
                <w:sz w:val="21"/>
                <w:szCs w:val="21"/>
              </w:rPr>
              <w:t>________________投标文件</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eastAsia" w:ascii="宋体" w:hAnsi="宋体"/>
                <w:sz w:val="21"/>
                <w:szCs w:val="21"/>
              </w:rPr>
              <w:t>在</w:t>
            </w:r>
            <w:r>
              <w:rPr>
                <w:rFonts w:hint="default" w:ascii="Arial" w:hAnsi="Arial" w:cs="Arial"/>
                <w:sz w:val="21"/>
                <w:szCs w:val="21"/>
                <w:u w:val="single"/>
              </w:rPr>
              <w:t>201</w:t>
            </w:r>
            <w:r>
              <w:rPr>
                <w:rFonts w:hint="eastAsia" w:ascii="Arial" w:hAnsi="Arial" w:cs="Arial"/>
                <w:sz w:val="21"/>
                <w:szCs w:val="21"/>
                <w:u w:val="single"/>
                <w:lang w:val="en-US" w:eastAsia="zh-CN"/>
              </w:rPr>
              <w:t>8</w:t>
            </w:r>
            <w:r>
              <w:rPr>
                <w:rFonts w:hint="default" w:hAnsi="宋体" w:cs="Times New Roman"/>
                <w:sz w:val="21"/>
                <w:szCs w:val="21"/>
                <w:u w:val="single"/>
              </w:rPr>
              <w:t xml:space="preserve"> </w:t>
            </w:r>
            <w:r>
              <w:rPr>
                <w:rFonts w:hint="eastAsia" w:hAnsi="宋体" w:cs="Times New Roman"/>
                <w:sz w:val="21"/>
                <w:szCs w:val="21"/>
              </w:rPr>
              <w:t>年</w:t>
            </w:r>
            <w:r>
              <w:rPr>
                <w:rFonts w:hint="default" w:hAnsi="宋体" w:cs="Times New Roman"/>
                <w:sz w:val="21"/>
                <w:szCs w:val="21"/>
                <w:u w:val="single"/>
              </w:rPr>
              <w:t xml:space="preserve"> </w:t>
            </w:r>
            <w:r>
              <w:rPr>
                <w:rFonts w:hint="eastAsia" w:hAnsi="宋体" w:cs="Times New Roman"/>
                <w:sz w:val="21"/>
                <w:szCs w:val="21"/>
                <w:u w:val="single"/>
                <w:lang w:val="en-US" w:eastAsia="zh-CN"/>
              </w:rPr>
              <w:t xml:space="preserve"> </w:t>
            </w:r>
            <w:r>
              <w:rPr>
                <w:rFonts w:hint="eastAsia" w:ascii="Arial" w:hAnsi="Arial" w:eastAsia="Arial Unicode MS" w:cs="Arial"/>
                <w:sz w:val="21"/>
                <w:szCs w:val="21"/>
                <w:u w:val="single"/>
                <w:lang w:val="en-US" w:eastAsia="zh-CN"/>
              </w:rPr>
              <w:t xml:space="preserve">5 </w:t>
            </w:r>
            <w:r>
              <w:rPr>
                <w:rFonts w:hint="default" w:hAnsi="宋体" w:cs="Times New Roman"/>
                <w:sz w:val="21"/>
                <w:szCs w:val="21"/>
                <w:u w:val="single"/>
              </w:rPr>
              <w:t xml:space="preserve"> </w:t>
            </w:r>
            <w:r>
              <w:rPr>
                <w:rFonts w:hint="eastAsia" w:hAnsi="宋体" w:cs="Times New Roman"/>
                <w:sz w:val="21"/>
                <w:szCs w:val="21"/>
              </w:rPr>
              <w:t>月</w:t>
            </w:r>
            <w:r>
              <w:rPr>
                <w:rFonts w:hint="default" w:hAnsi="宋体" w:cs="Times New Roman"/>
                <w:sz w:val="21"/>
                <w:szCs w:val="21"/>
                <w:u w:val="single"/>
              </w:rPr>
              <w:t xml:space="preserve"> </w:t>
            </w:r>
            <w:r>
              <w:rPr>
                <w:rFonts w:hint="eastAsia" w:hAnsi="宋体" w:cs="Times New Roman"/>
                <w:sz w:val="21"/>
                <w:szCs w:val="21"/>
                <w:u w:val="single"/>
                <w:lang w:val="en-US" w:eastAsia="zh-CN"/>
              </w:rPr>
              <w:t xml:space="preserve"> 14</w:t>
            </w:r>
            <w:r>
              <w:rPr>
                <w:rFonts w:hint="eastAsia" w:ascii="Arial" w:hAnsi="Arial" w:eastAsia="Arial Unicode MS" w:cs="Arial"/>
                <w:sz w:val="21"/>
                <w:szCs w:val="21"/>
                <w:u w:val="single"/>
                <w:lang w:val="en-US" w:eastAsia="zh-CN"/>
              </w:rPr>
              <w:t xml:space="preserve"> </w:t>
            </w:r>
            <w:r>
              <w:rPr>
                <w:rFonts w:hint="default" w:hAnsi="宋体" w:cs="Times New Roman"/>
                <w:sz w:val="21"/>
                <w:szCs w:val="21"/>
                <w:u w:val="single"/>
              </w:rPr>
              <w:t xml:space="preserve"> </w:t>
            </w:r>
            <w:r>
              <w:rPr>
                <w:rFonts w:hint="eastAsia" w:hAnsi="宋体" w:cs="Times New Roman"/>
                <w:sz w:val="21"/>
                <w:szCs w:val="21"/>
              </w:rPr>
              <w:t>日</w:t>
            </w:r>
            <w:r>
              <w:rPr>
                <w:rFonts w:hint="eastAsia" w:hAnsi="宋体" w:cs="Times New Roman"/>
                <w:sz w:val="21"/>
                <w:szCs w:val="21"/>
                <w:lang w:val="en-US" w:eastAsia="zh-CN"/>
              </w:rPr>
              <w:t>下</w:t>
            </w:r>
            <w:r>
              <w:rPr>
                <w:rFonts w:hint="eastAsia" w:hAnsi="宋体" w:cs="Times New Roman"/>
                <w:sz w:val="21"/>
                <w:szCs w:val="21"/>
              </w:rPr>
              <w:t>午</w:t>
            </w:r>
            <w:r>
              <w:rPr>
                <w:rFonts w:hint="default" w:hAnsi="宋体" w:cs="Times New Roman"/>
                <w:sz w:val="21"/>
                <w:szCs w:val="21"/>
                <w:u w:val="single"/>
              </w:rPr>
              <w:t xml:space="preserve"> </w:t>
            </w:r>
            <w:r>
              <w:rPr>
                <w:rFonts w:hint="eastAsia" w:ascii="Arial" w:hAnsi="Arial" w:eastAsia="Arial Unicode MS" w:cs="Arial"/>
                <w:sz w:val="21"/>
                <w:szCs w:val="21"/>
                <w:u w:val="single"/>
                <w:lang w:val="en-US" w:eastAsia="zh-CN"/>
              </w:rPr>
              <w:t>1</w:t>
            </w:r>
            <w:r>
              <w:rPr>
                <w:rFonts w:hint="eastAsia" w:eastAsia="Arial Unicode MS" w:cs="Arial"/>
                <w:sz w:val="21"/>
                <w:szCs w:val="21"/>
                <w:u w:val="single"/>
                <w:lang w:val="en-US" w:eastAsia="zh-CN"/>
              </w:rPr>
              <w:t>4</w:t>
            </w:r>
            <w:r>
              <w:rPr>
                <w:rFonts w:hint="default" w:hAnsi="宋体" w:cs="Times New Roman"/>
                <w:sz w:val="21"/>
                <w:szCs w:val="21"/>
                <w:u w:val="single"/>
              </w:rPr>
              <w:t xml:space="preserve"> </w:t>
            </w:r>
            <w:r>
              <w:rPr>
                <w:rFonts w:hint="eastAsia" w:hAnsi="宋体" w:cs="Times New Roman"/>
                <w:sz w:val="21"/>
                <w:szCs w:val="21"/>
              </w:rPr>
              <w:t>时</w:t>
            </w:r>
            <w:r>
              <w:rPr>
                <w:rFonts w:hint="default" w:ascii="Arial Unicode MS" w:hAnsi="Arial Unicode MS" w:eastAsia="Arial Unicode MS" w:cs="Arial Unicode MS"/>
                <w:sz w:val="21"/>
                <w:szCs w:val="21"/>
                <w:u w:val="single"/>
              </w:rPr>
              <w:t xml:space="preserve"> </w:t>
            </w:r>
            <w:r>
              <w:rPr>
                <w:rFonts w:hint="eastAsia" w:ascii="Arial" w:hAnsi="Arial" w:eastAsia="Arial Unicode MS" w:cs="Arial"/>
                <w:sz w:val="21"/>
                <w:szCs w:val="21"/>
                <w:u w:val="single"/>
                <w:lang w:val="en-US" w:eastAsia="zh-CN"/>
              </w:rPr>
              <w:t>0</w:t>
            </w:r>
            <w:r>
              <w:rPr>
                <w:rFonts w:hint="default" w:ascii="Arial" w:hAnsi="Arial" w:eastAsia="Arial Unicode MS" w:cs="Arial"/>
                <w:sz w:val="21"/>
                <w:szCs w:val="21"/>
                <w:u w:val="single"/>
              </w:rPr>
              <w:t>0</w:t>
            </w:r>
            <w:r>
              <w:rPr>
                <w:rFonts w:hint="default" w:hAnsi="宋体" w:cs="Times New Roman"/>
                <w:sz w:val="21"/>
                <w:szCs w:val="21"/>
                <w:u w:val="single"/>
              </w:rPr>
              <w:t xml:space="preserve"> </w:t>
            </w:r>
            <w:r>
              <w:rPr>
                <w:rFonts w:hint="eastAsia" w:hAnsi="宋体" w:cs="Times New Roman"/>
                <w:sz w:val="21"/>
                <w:szCs w:val="21"/>
              </w:rPr>
              <w:t>分</w:t>
            </w:r>
            <w:r>
              <w:rPr>
                <w:rFonts w:hint="eastAsia" w:ascii="宋体" w:hAnsi="宋体"/>
                <w:sz w:val="21"/>
                <w:szCs w:val="21"/>
              </w:rPr>
              <w:t>前</w:t>
            </w:r>
            <w:r>
              <w:rPr>
                <w:rFonts w:hint="default" w:ascii="宋体" w:hAnsi="宋体"/>
                <w:sz w:val="21"/>
                <w:szCs w:val="21"/>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4.2.2</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提交</w:t>
            </w:r>
            <w:r>
              <w:rPr>
                <w:rFonts w:hint="default" w:ascii="宋体" w:hAnsi="宋体"/>
                <w:color w:val="000000"/>
                <w:sz w:val="21"/>
                <w:szCs w:val="21"/>
              </w:rPr>
              <w:t>投标文件的地点</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eastAsia"/>
                <w:sz w:val="21"/>
                <w:szCs w:val="21"/>
                <w:lang w:val="en-US" w:eastAsia="zh-CN"/>
              </w:rPr>
              <w:t>登封市公共资源交易中心第1开标室</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5.1</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开标时间</w:t>
            </w:r>
            <w:r>
              <w:rPr>
                <w:rFonts w:hint="default" w:ascii="宋体" w:hAnsi="宋体"/>
                <w:color w:val="000000"/>
                <w:sz w:val="21"/>
                <w:szCs w:val="21"/>
              </w:rPr>
              <w:t>和地点</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color w:val="000000"/>
                <w:sz w:val="21"/>
                <w:szCs w:val="21"/>
              </w:rPr>
            </w:pPr>
            <w:r>
              <w:rPr>
                <w:rFonts w:hint="eastAsia" w:ascii="宋体" w:hAnsi="宋体"/>
                <w:color w:val="000000"/>
                <w:sz w:val="21"/>
                <w:szCs w:val="21"/>
              </w:rPr>
              <w:t>开标时间</w:t>
            </w:r>
            <w:r>
              <w:rPr>
                <w:rFonts w:hint="default" w:ascii="宋体" w:hAnsi="宋体"/>
                <w:color w:val="000000"/>
                <w:sz w:val="21"/>
                <w:szCs w:val="21"/>
              </w:rPr>
              <w:t>：</w:t>
            </w:r>
            <w:r>
              <w:rPr>
                <w:rFonts w:hint="eastAsia" w:ascii="宋体" w:hAnsi="宋体"/>
                <w:color w:val="000000"/>
                <w:sz w:val="21"/>
                <w:szCs w:val="21"/>
              </w:rPr>
              <w:t>同</w:t>
            </w:r>
            <w:r>
              <w:rPr>
                <w:rFonts w:hint="default" w:ascii="宋体" w:hAnsi="宋体"/>
                <w:color w:val="000000"/>
                <w:sz w:val="21"/>
                <w:szCs w:val="21"/>
              </w:rPr>
              <w:t>投标截止时间</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color w:val="000000"/>
                <w:sz w:val="21"/>
                <w:szCs w:val="21"/>
              </w:rPr>
            </w:pPr>
            <w:r>
              <w:rPr>
                <w:rFonts w:hint="eastAsia" w:ascii="宋体" w:hAnsi="宋体"/>
                <w:color w:val="000000"/>
                <w:sz w:val="21"/>
                <w:szCs w:val="21"/>
              </w:rPr>
              <w:t>地点</w:t>
            </w:r>
            <w:r>
              <w:rPr>
                <w:rFonts w:hint="default" w:ascii="宋体" w:hAnsi="宋体"/>
                <w:color w:val="000000"/>
                <w:sz w:val="21"/>
                <w:szCs w:val="21"/>
              </w:rPr>
              <w:t>：</w:t>
            </w:r>
            <w:r>
              <w:rPr>
                <w:rFonts w:hint="eastAsia"/>
                <w:sz w:val="21"/>
                <w:szCs w:val="21"/>
                <w:lang w:eastAsia="zh-CN"/>
              </w:rPr>
              <w:t>登封市公共资源交易中心第</w:t>
            </w:r>
            <w:r>
              <w:rPr>
                <w:rFonts w:hint="eastAsia"/>
                <w:sz w:val="21"/>
                <w:szCs w:val="21"/>
                <w:lang w:val="en-US" w:eastAsia="zh-CN"/>
              </w:rPr>
              <w:t>1</w:t>
            </w:r>
            <w:r>
              <w:rPr>
                <w:rFonts w:hint="eastAsia"/>
                <w:sz w:val="21"/>
                <w:szCs w:val="21"/>
                <w:lang w:eastAsia="zh-CN"/>
              </w:rPr>
              <w:t xml:space="preserve">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6.1.1</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评审小组的构</w:t>
            </w:r>
            <w:r>
              <w:rPr>
                <w:rFonts w:hint="default" w:ascii="宋体" w:hAnsi="宋体"/>
                <w:color w:val="000000"/>
                <w:sz w:val="21"/>
                <w:szCs w:val="21"/>
              </w:rPr>
              <w:t>成</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宋体" w:hAnsi="宋体"/>
                <w:color w:val="000000"/>
                <w:sz w:val="21"/>
                <w:szCs w:val="21"/>
              </w:rPr>
            </w:pPr>
            <w:r>
              <w:rPr>
                <w:rFonts w:hint="eastAsia" w:ascii="宋体" w:hAnsi="宋体"/>
                <w:color w:val="000000"/>
                <w:sz w:val="21"/>
                <w:szCs w:val="21"/>
              </w:rPr>
              <w:t>评审专家</w:t>
            </w:r>
            <w:r>
              <w:rPr>
                <w:rFonts w:hint="default" w:ascii="宋体" w:hAnsi="宋体"/>
                <w:color w:val="000000"/>
                <w:sz w:val="21"/>
                <w:szCs w:val="21"/>
              </w:rPr>
              <w:t>的</w:t>
            </w:r>
            <w:r>
              <w:rPr>
                <w:rFonts w:hint="eastAsia" w:hAnsi="宋体"/>
                <w:color w:val="000000"/>
                <w:sz w:val="21"/>
                <w:szCs w:val="21"/>
                <w:lang w:val="en-US" w:eastAsia="zh-CN"/>
              </w:rPr>
              <w:t>构成</w:t>
            </w:r>
            <w:r>
              <w:rPr>
                <w:rFonts w:hint="default" w:ascii="宋体" w:hAnsi="宋体"/>
                <w:color w:val="000000"/>
                <w:sz w:val="21"/>
                <w:szCs w:val="21"/>
              </w:rPr>
              <w:t>：</w:t>
            </w:r>
            <w:r>
              <w:rPr>
                <w:rFonts w:hint="eastAsia" w:ascii="宋体" w:hAnsi="宋体"/>
                <w:color w:val="000000"/>
                <w:sz w:val="21"/>
                <w:szCs w:val="21"/>
              </w:rPr>
              <w:t>由7人构成；其中</w:t>
            </w:r>
            <w:r>
              <w:rPr>
                <w:rFonts w:hint="eastAsia" w:ascii="宋体" w:hAnsi="宋体"/>
                <w:color w:val="000000"/>
                <w:sz w:val="21"/>
                <w:szCs w:val="21"/>
                <w:lang w:val="en-US" w:eastAsia="zh-CN"/>
              </w:rPr>
              <w:t>实施机构</w:t>
            </w:r>
            <w:r>
              <w:rPr>
                <w:rFonts w:hint="eastAsia" w:ascii="宋体" w:hAnsi="宋体"/>
                <w:color w:val="000000"/>
                <w:sz w:val="21"/>
                <w:szCs w:val="21"/>
              </w:rPr>
              <w:t>代表 2人，</w:t>
            </w:r>
            <w:r>
              <w:rPr>
                <w:rFonts w:hint="eastAsia" w:ascii="宋体" w:hAnsi="宋体"/>
                <w:color w:val="000000"/>
                <w:sz w:val="21"/>
                <w:szCs w:val="21"/>
                <w:lang w:val="en-US" w:eastAsia="zh-CN"/>
              </w:rPr>
              <w:t>财务专家1</w:t>
            </w:r>
            <w:r>
              <w:rPr>
                <w:rFonts w:hint="eastAsia" w:ascii="宋体" w:hAnsi="宋体"/>
                <w:color w:val="000000"/>
                <w:sz w:val="21"/>
                <w:szCs w:val="21"/>
              </w:rPr>
              <w:t>人</w:t>
            </w:r>
            <w:r>
              <w:rPr>
                <w:rFonts w:hint="eastAsia" w:ascii="宋体" w:hAnsi="宋体"/>
                <w:color w:val="000000"/>
                <w:sz w:val="21"/>
                <w:szCs w:val="21"/>
                <w:lang w:eastAsia="zh-CN"/>
              </w:rPr>
              <w:t>，</w:t>
            </w:r>
            <w:r>
              <w:rPr>
                <w:rFonts w:hint="eastAsia" w:ascii="宋体" w:hAnsi="宋体"/>
                <w:color w:val="000000"/>
                <w:sz w:val="21"/>
                <w:szCs w:val="21"/>
                <w:lang w:val="en-US" w:eastAsia="zh-CN"/>
              </w:rPr>
              <w:t>法律专家1人，其他3人</w:t>
            </w:r>
            <w:r>
              <w:rPr>
                <w:rFonts w:hint="eastAsia" w:ascii="宋体" w:hAnsi="宋体"/>
                <w:color w:val="000000"/>
                <w:sz w:val="21"/>
                <w:szCs w:val="21"/>
              </w:rPr>
              <w:t>；</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color w:val="000000"/>
                <w:sz w:val="21"/>
                <w:szCs w:val="21"/>
              </w:rPr>
            </w:pPr>
            <w:r>
              <w:rPr>
                <w:rFonts w:hint="eastAsia" w:ascii="宋体" w:hAnsi="宋体"/>
                <w:color w:val="000000"/>
                <w:sz w:val="21"/>
                <w:szCs w:val="21"/>
              </w:rPr>
              <w:t>专家确定方式：</w:t>
            </w:r>
            <w:r>
              <w:rPr>
                <w:rFonts w:hint="eastAsia" w:ascii="宋体" w:hAnsi="宋体"/>
                <w:color w:val="000000"/>
                <w:sz w:val="21"/>
                <w:szCs w:val="21"/>
                <w:lang w:val="en-US" w:eastAsia="zh-CN"/>
              </w:rPr>
              <w:t>根据财库[2014]215号文件第七条规定，可由实施机构自行选定或者部分专家从《河南省政府采购专家库》中随机抽取</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6.3.3</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评审小组推荐</w:t>
            </w:r>
            <w:r>
              <w:rPr>
                <w:rFonts w:hint="default" w:ascii="宋体" w:hAnsi="宋体"/>
                <w:color w:val="000000"/>
                <w:sz w:val="21"/>
                <w:szCs w:val="21"/>
              </w:rPr>
              <w:t>候选投标人排名的人数</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left"/>
              <w:textAlignment w:val="auto"/>
              <w:rPr>
                <w:rFonts w:hint="default"/>
                <w:color w:val="000000"/>
                <w:sz w:val="21"/>
                <w:szCs w:val="21"/>
              </w:rPr>
            </w:pPr>
            <w:r>
              <w:rPr>
                <w:rFonts w:hint="default" w:asciiTheme="minorEastAsia" w:hAnsiTheme="minorEastAsia"/>
                <w:color w:val="000000"/>
                <w:sz w:val="21"/>
                <w:szCs w:val="21"/>
                <w:u w:val="single"/>
              </w:rPr>
              <w:t xml:space="preserve"> </w:t>
            </w:r>
            <w:r>
              <w:rPr>
                <w:rFonts w:hint="default" w:cs="Arial"/>
                <w:color w:val="000000"/>
                <w:sz w:val="21"/>
                <w:szCs w:val="21"/>
                <w:u w:val="single"/>
              </w:rPr>
              <w:t>3</w:t>
            </w:r>
            <w:r>
              <w:rPr>
                <w:rFonts w:hint="default" w:asciiTheme="minorEastAsia" w:hAnsiTheme="minorEastAsia"/>
                <w:color w:val="000000"/>
                <w:sz w:val="21"/>
                <w:szCs w:val="21"/>
                <w:u w:val="single"/>
              </w:rPr>
              <w:t xml:space="preserve">  </w:t>
            </w:r>
            <w:r>
              <w:rPr>
                <w:rFonts w:hint="default" w:asciiTheme="minorEastAsia" w:hAnsiTheme="minorEastAsia"/>
                <w:color w:val="000000"/>
                <w:sz w:val="21"/>
                <w:szCs w:val="21"/>
              </w:rPr>
              <w:t xml:space="preserve">  </w:t>
            </w:r>
            <w:r>
              <w:rPr>
                <w:rFonts w:hint="eastAsia"/>
                <w:color w:val="00000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7.1.3</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项目</w:t>
            </w:r>
            <w:r>
              <w:rPr>
                <w:rFonts w:hint="default" w:ascii="宋体" w:hAnsi="宋体"/>
                <w:color w:val="000000"/>
                <w:sz w:val="21"/>
                <w:szCs w:val="21"/>
              </w:rPr>
              <w:t>合同可变的细节</w:t>
            </w:r>
          </w:p>
        </w:tc>
        <w:tc>
          <w:tcPr>
            <w:tcW w:w="5590" w:type="dxa"/>
            <w:vAlign w:val="center"/>
          </w:tcPr>
          <w:p>
            <w:pPr>
              <w:keepNext w:val="0"/>
              <w:keepLines w:val="0"/>
              <w:pageBreakBefore w:val="0"/>
              <w:widowControl/>
              <w:suppressLineNumbers w:val="0"/>
              <w:kinsoku/>
              <w:bidi w:val="0"/>
              <w:spacing w:before="0" w:beforeAutospacing="0" w:after="0" w:afterAutospacing="0" w:line="360" w:lineRule="auto"/>
              <w:ind w:left="0" w:right="0" w:firstLine="0" w:firstLineChars="0"/>
              <w:jc w:val="left"/>
              <w:textAlignment w:val="auto"/>
              <w:rPr>
                <w:rFonts w:hint="default" w:ascii="宋体" w:hAnsi="宋体" w:cs="宋体"/>
                <w:kern w:val="0"/>
                <w:szCs w:val="24"/>
              </w:rPr>
            </w:pPr>
            <w:r>
              <w:rPr>
                <w:rFonts w:hint="eastAsia"/>
                <w:color w:val="000000"/>
                <w:sz w:val="21"/>
                <w:szCs w:val="21"/>
              </w:rPr>
              <w:t>非实质性条款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eastAsia" w:ascii="Arial Unicode MS" w:hAnsi="Arial Unicode MS" w:eastAsia="Arial Unicode MS" w:cs="Arial Unicode MS"/>
                <w:color w:val="000000"/>
                <w:sz w:val="21"/>
                <w:szCs w:val="21"/>
              </w:rPr>
              <w:t>7.3.1</w:t>
            </w:r>
          </w:p>
        </w:tc>
        <w:tc>
          <w:tcPr>
            <w:tcW w:w="228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hAnsi="宋体"/>
                <w:color w:val="000000"/>
                <w:sz w:val="21"/>
                <w:szCs w:val="21"/>
              </w:rPr>
            </w:pPr>
            <w:r>
              <w:rPr>
                <w:rFonts w:hint="eastAsia" w:ascii="宋体" w:hAnsi="宋体"/>
                <w:color w:val="000000"/>
                <w:sz w:val="21"/>
                <w:szCs w:val="21"/>
              </w:rPr>
              <w:t>履约担保</w:t>
            </w:r>
          </w:p>
        </w:tc>
        <w:tc>
          <w:tcPr>
            <w:tcW w:w="559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color w:val="000000"/>
                <w:sz w:val="21"/>
                <w:szCs w:val="21"/>
              </w:rPr>
            </w:pPr>
            <w:r>
              <w:rPr>
                <w:rFonts w:hint="eastAsia" w:ascii="宋体" w:hAnsi="宋体"/>
                <w:color w:val="000000"/>
                <w:sz w:val="21"/>
                <w:szCs w:val="21"/>
              </w:rPr>
              <w:t>履约保证金</w:t>
            </w:r>
            <w:r>
              <w:rPr>
                <w:rFonts w:hint="default" w:ascii="宋体" w:hAnsi="宋体"/>
                <w:color w:val="000000"/>
                <w:sz w:val="21"/>
                <w:szCs w:val="21"/>
              </w:rPr>
              <w:t>的形式及要求：</w:t>
            </w:r>
            <w:r>
              <w:rPr>
                <w:rFonts w:hint="eastAsia" w:ascii="宋体" w:hAnsi="宋体"/>
                <w:color w:val="000000"/>
                <w:sz w:val="21"/>
                <w:szCs w:val="21"/>
              </w:rPr>
              <w:t>保函</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hAnsi="宋体"/>
                <w:color w:val="000000"/>
                <w:sz w:val="21"/>
                <w:szCs w:val="21"/>
              </w:rPr>
            </w:pPr>
            <w:r>
              <w:rPr>
                <w:rFonts w:hint="eastAsia" w:ascii="宋体" w:hAnsi="宋体"/>
                <w:color w:val="000000"/>
                <w:sz w:val="21"/>
                <w:szCs w:val="21"/>
              </w:rPr>
              <w:t>履约保证金</w:t>
            </w:r>
            <w:r>
              <w:rPr>
                <w:rFonts w:hint="default" w:ascii="宋体" w:hAnsi="宋体"/>
                <w:color w:val="000000"/>
                <w:sz w:val="21"/>
                <w:szCs w:val="21"/>
              </w:rPr>
              <w:t>的金额：</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宋体" w:hAnsi="宋体"/>
                <w:color w:val="000000"/>
                <w:sz w:val="21"/>
                <w:szCs w:val="21"/>
              </w:rPr>
            </w:pPr>
            <w:r>
              <w:rPr>
                <w:rFonts w:hint="eastAsia" w:ascii="宋体" w:hAnsi="宋体"/>
                <w:color w:val="000000"/>
                <w:sz w:val="21"/>
                <w:szCs w:val="21"/>
                <w:lang w:val="en-US" w:eastAsia="zh-CN"/>
              </w:rPr>
              <w:t>建设期履约保函：</w:t>
            </w:r>
            <w:r>
              <w:rPr>
                <w:rFonts w:hint="eastAsia" w:ascii="宋体" w:hAnsi="宋体"/>
                <w:color w:val="000000"/>
                <w:sz w:val="21"/>
                <w:szCs w:val="21"/>
              </w:rPr>
              <w:t>项目公司正式签署PPP项目合同</w:t>
            </w:r>
            <w:r>
              <w:rPr>
                <w:rFonts w:hint="eastAsia" w:ascii="宋体" w:hAnsi="宋体"/>
                <w:color w:val="000000"/>
                <w:sz w:val="21"/>
                <w:szCs w:val="21"/>
                <w:lang w:val="en-US" w:eastAsia="zh-CN"/>
              </w:rPr>
              <w:t>前</w:t>
            </w:r>
            <w:r>
              <w:rPr>
                <w:rFonts w:hint="eastAsia" w:ascii="宋体" w:hAnsi="宋体"/>
                <w:color w:val="000000"/>
                <w:sz w:val="21"/>
                <w:szCs w:val="21"/>
              </w:rPr>
              <w:t>同时提交金额为：人民币（大写）：</w:t>
            </w:r>
            <w:r>
              <w:rPr>
                <w:rFonts w:hint="eastAsia" w:ascii="宋体" w:hAnsi="宋体"/>
                <w:color w:val="000000"/>
                <w:sz w:val="21"/>
                <w:szCs w:val="21"/>
                <w:lang w:val="en-US" w:eastAsia="zh-CN"/>
              </w:rPr>
              <w:t>贰仟伍佰万</w:t>
            </w:r>
            <w:r>
              <w:rPr>
                <w:rFonts w:hint="eastAsia" w:ascii="宋体" w:hAnsi="宋体"/>
                <w:color w:val="000000"/>
                <w:sz w:val="21"/>
                <w:szCs w:val="21"/>
              </w:rPr>
              <w:t>元整</w:t>
            </w:r>
            <w:r>
              <w:rPr>
                <w:rFonts w:hint="eastAsia" w:ascii="宋体" w:hAnsi="宋体"/>
                <w:color w:val="000000"/>
                <w:sz w:val="21"/>
                <w:szCs w:val="21"/>
                <w:lang w:eastAsia="zh-CN"/>
              </w:rPr>
              <w:t>（</w:t>
            </w:r>
            <w:r>
              <w:rPr>
                <w:rFonts w:hint="eastAsia" w:ascii="宋体" w:hAnsi="宋体"/>
                <w:color w:val="000000"/>
                <w:sz w:val="21"/>
                <w:szCs w:val="21"/>
                <w:lang w:val="en-US" w:eastAsia="zh-CN"/>
              </w:rPr>
              <w:t>小写</w:t>
            </w:r>
            <w:r>
              <w:rPr>
                <w:rFonts w:hint="eastAsia" w:ascii="宋体" w:hAnsi="宋体"/>
                <w:color w:val="000000"/>
                <w:sz w:val="21"/>
                <w:szCs w:val="21"/>
                <w:lang w:eastAsia="zh-CN"/>
              </w:rPr>
              <w:t>）</w:t>
            </w:r>
            <w:r>
              <w:rPr>
                <w:rFonts w:hint="eastAsia" w:ascii="宋体" w:hAnsi="宋体"/>
                <w:color w:val="000000"/>
                <w:sz w:val="21"/>
                <w:szCs w:val="21"/>
              </w:rPr>
              <w:t>¥</w:t>
            </w:r>
            <w:r>
              <w:rPr>
                <w:rFonts w:hint="eastAsia" w:ascii="宋体" w:hAnsi="宋体"/>
                <w:color w:val="000000"/>
                <w:sz w:val="21"/>
                <w:szCs w:val="21"/>
                <w:lang w:val="en-US" w:eastAsia="zh-CN"/>
              </w:rPr>
              <w:t>25000000.00</w:t>
            </w:r>
            <w:r>
              <w:rPr>
                <w:rFonts w:hint="eastAsia" w:ascii="宋体" w:hAnsi="宋体"/>
                <w:color w:val="000000"/>
                <w:sz w:val="21"/>
                <w:szCs w:val="21"/>
              </w:rPr>
              <w:t>元的建设期履约保函</w:t>
            </w:r>
            <w:r>
              <w:rPr>
                <w:rFonts w:hint="eastAsia" w:ascii="宋体" w:hAnsi="宋体"/>
                <w:color w:val="000000"/>
                <w:sz w:val="21"/>
                <w:szCs w:val="21"/>
                <w:lang w:eastAsia="zh-CN"/>
              </w:rPr>
              <w:t>（</w:t>
            </w:r>
            <w:r>
              <w:rPr>
                <w:rFonts w:hint="eastAsia" w:ascii="宋体" w:hAnsi="宋体"/>
                <w:color w:val="000000"/>
                <w:sz w:val="21"/>
                <w:szCs w:val="21"/>
                <w:lang w:val="en-US" w:eastAsia="zh-CN"/>
              </w:rPr>
              <w:t>按总投资的3%计算</w:t>
            </w:r>
            <w:r>
              <w:rPr>
                <w:rFonts w:hint="eastAsia" w:ascii="宋体" w:hAnsi="宋体"/>
                <w:color w:val="000000"/>
                <w:sz w:val="21"/>
                <w:szCs w:val="21"/>
                <w:lang w:eastAsia="zh-CN"/>
              </w:rPr>
              <w:t>）</w:t>
            </w:r>
            <w:r>
              <w:rPr>
                <w:rFonts w:hint="eastAsia" w:ascii="宋体" w:hAnsi="宋体"/>
                <w:color w:val="000000"/>
                <w:sz w:val="21"/>
                <w:szCs w:val="21"/>
              </w:rPr>
              <w:t>，竣工验收完成且项目公司递交运营维护期保函后退还项目公司。</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宋体" w:hAnsi="宋体"/>
                <w:color w:val="000000"/>
                <w:sz w:val="21"/>
                <w:szCs w:val="21"/>
              </w:rPr>
            </w:pPr>
            <w:r>
              <w:rPr>
                <w:rFonts w:hint="eastAsia" w:ascii="宋体" w:hAnsi="宋体"/>
                <w:color w:val="000000"/>
                <w:sz w:val="21"/>
                <w:szCs w:val="21"/>
                <w:lang w:val="en-US" w:eastAsia="zh-CN"/>
              </w:rPr>
              <w:t>运营维护期履约保函：</w:t>
            </w:r>
            <w:r>
              <w:rPr>
                <w:rFonts w:hint="eastAsia" w:ascii="宋体" w:hAnsi="宋体"/>
                <w:color w:val="000000"/>
                <w:sz w:val="21"/>
                <w:szCs w:val="21"/>
              </w:rPr>
              <w:t>项目公司在进入运营期的同时递交金额为：人民币（大写）：</w:t>
            </w:r>
            <w:r>
              <w:rPr>
                <w:rFonts w:hint="eastAsia" w:ascii="宋体" w:hAnsi="宋体"/>
                <w:color w:val="000000"/>
                <w:sz w:val="21"/>
                <w:szCs w:val="21"/>
                <w:lang w:val="en-US" w:eastAsia="zh-CN"/>
              </w:rPr>
              <w:t>伍</w:t>
            </w:r>
            <w:r>
              <w:rPr>
                <w:rFonts w:hint="eastAsia" w:ascii="宋体" w:hAnsi="宋体"/>
                <w:color w:val="000000"/>
                <w:sz w:val="21"/>
                <w:szCs w:val="21"/>
              </w:rPr>
              <w:t>佰万元整</w:t>
            </w:r>
            <w:r>
              <w:rPr>
                <w:rFonts w:hint="eastAsia" w:ascii="宋体" w:hAnsi="宋体"/>
                <w:color w:val="000000"/>
                <w:sz w:val="21"/>
                <w:szCs w:val="21"/>
                <w:lang w:eastAsia="zh-CN"/>
              </w:rPr>
              <w:t>（</w:t>
            </w:r>
            <w:r>
              <w:rPr>
                <w:rFonts w:hint="eastAsia" w:ascii="宋体" w:hAnsi="宋体"/>
                <w:color w:val="000000"/>
                <w:sz w:val="21"/>
                <w:szCs w:val="21"/>
                <w:lang w:val="en-US" w:eastAsia="zh-CN"/>
              </w:rPr>
              <w:t>小写</w:t>
            </w:r>
            <w:r>
              <w:rPr>
                <w:rFonts w:hint="eastAsia" w:ascii="宋体" w:hAnsi="宋体"/>
                <w:color w:val="000000"/>
                <w:sz w:val="21"/>
                <w:szCs w:val="21"/>
                <w:lang w:eastAsia="zh-CN"/>
              </w:rPr>
              <w:t>）</w:t>
            </w:r>
            <w:r>
              <w:rPr>
                <w:rFonts w:hint="eastAsia" w:ascii="宋体" w:hAnsi="宋体"/>
                <w:color w:val="000000"/>
                <w:sz w:val="21"/>
                <w:szCs w:val="21"/>
              </w:rPr>
              <w:t>¥</w:t>
            </w:r>
            <w:r>
              <w:rPr>
                <w:rFonts w:hint="eastAsia" w:ascii="宋体" w:hAnsi="宋体"/>
                <w:color w:val="000000"/>
                <w:sz w:val="21"/>
                <w:szCs w:val="21"/>
                <w:lang w:val="en-US" w:eastAsia="zh-CN"/>
              </w:rPr>
              <w:t>5</w:t>
            </w:r>
            <w:r>
              <w:rPr>
                <w:rFonts w:hint="eastAsia" w:ascii="宋体" w:hAnsi="宋体"/>
                <w:color w:val="000000"/>
                <w:sz w:val="21"/>
                <w:szCs w:val="21"/>
              </w:rPr>
              <w:t>000000</w:t>
            </w:r>
            <w:r>
              <w:rPr>
                <w:rFonts w:hint="eastAsia" w:ascii="宋体" w:hAnsi="宋体"/>
                <w:color w:val="000000"/>
                <w:sz w:val="21"/>
                <w:szCs w:val="21"/>
                <w:lang w:val="en-US" w:eastAsia="zh-CN"/>
              </w:rPr>
              <w:t>.00</w:t>
            </w:r>
            <w:r>
              <w:rPr>
                <w:rFonts w:hint="eastAsia" w:ascii="宋体" w:hAnsi="宋体"/>
                <w:color w:val="000000"/>
                <w:sz w:val="21"/>
                <w:szCs w:val="21"/>
              </w:rPr>
              <w:t>元的运营维护期履约保函</w:t>
            </w:r>
            <w:r>
              <w:rPr>
                <w:rFonts w:hint="eastAsia" w:ascii="宋体" w:hAnsi="宋体"/>
                <w:color w:val="000000"/>
                <w:sz w:val="21"/>
                <w:szCs w:val="21"/>
                <w:lang w:val="en-US" w:eastAsia="zh-CN"/>
              </w:rPr>
              <w:t>(按日常养护管理费用计算)</w:t>
            </w:r>
            <w:r>
              <w:rPr>
                <w:rFonts w:hint="eastAsia" w:ascii="宋体" w:hAnsi="宋体"/>
                <w:color w:val="000000"/>
                <w:sz w:val="21"/>
                <w:szCs w:val="21"/>
              </w:rPr>
              <w:t>。</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000000"/>
                <w:sz w:val="21"/>
                <w:szCs w:val="21"/>
                <w:u w:val="single"/>
              </w:rPr>
            </w:pPr>
            <w:r>
              <w:rPr>
                <w:rFonts w:hint="eastAsia" w:ascii="宋体" w:hAnsi="宋体"/>
                <w:color w:val="000000"/>
                <w:sz w:val="21"/>
                <w:szCs w:val="21"/>
              </w:rPr>
              <w:t>移交履约保函</w:t>
            </w:r>
            <w:r>
              <w:rPr>
                <w:rFonts w:hint="eastAsia" w:ascii="宋体" w:hAnsi="宋体"/>
                <w:color w:val="000000"/>
                <w:sz w:val="21"/>
                <w:szCs w:val="21"/>
                <w:lang w:eastAsia="zh-CN"/>
              </w:rPr>
              <w:t>：</w:t>
            </w:r>
            <w:r>
              <w:rPr>
                <w:rFonts w:hint="eastAsia" w:ascii="宋体" w:hAnsi="宋体"/>
                <w:color w:val="000000"/>
                <w:sz w:val="21"/>
                <w:szCs w:val="21"/>
              </w:rPr>
              <w:t>项目公司在</w:t>
            </w:r>
            <w:r>
              <w:rPr>
                <w:rFonts w:hint="eastAsia" w:ascii="宋体" w:hAnsi="宋体"/>
                <w:color w:val="000000"/>
                <w:sz w:val="21"/>
                <w:szCs w:val="21"/>
                <w:lang w:val="en-US" w:eastAsia="zh-CN"/>
              </w:rPr>
              <w:t>运营维护期</w:t>
            </w:r>
            <w:r>
              <w:rPr>
                <w:rFonts w:hint="eastAsia" w:ascii="宋体" w:hAnsi="宋体"/>
                <w:color w:val="000000"/>
                <w:sz w:val="21"/>
                <w:szCs w:val="21"/>
              </w:rPr>
              <w:t>最后一</w:t>
            </w:r>
            <w:r>
              <w:rPr>
                <w:rFonts w:hint="eastAsia" w:ascii="宋体" w:hAnsi="宋体"/>
                <w:color w:val="000000"/>
                <w:sz w:val="21"/>
                <w:szCs w:val="21"/>
                <w:lang w:val="en-US" w:eastAsia="zh-CN"/>
              </w:rPr>
              <w:t>年</w:t>
            </w:r>
            <w:r>
              <w:rPr>
                <w:rFonts w:hint="eastAsia" w:ascii="宋体" w:hAnsi="宋体"/>
                <w:color w:val="000000"/>
                <w:sz w:val="21"/>
                <w:szCs w:val="21"/>
              </w:rPr>
              <w:t>开始前提交金额为：人民币（大写）：</w:t>
            </w:r>
            <w:r>
              <w:rPr>
                <w:rFonts w:hint="eastAsia" w:ascii="宋体" w:hAnsi="宋体"/>
                <w:color w:val="000000"/>
                <w:sz w:val="21"/>
                <w:szCs w:val="21"/>
                <w:lang w:val="en-US" w:eastAsia="zh-CN"/>
              </w:rPr>
              <w:t>玖仟玖佰玖拾万元</w:t>
            </w:r>
            <w:r>
              <w:rPr>
                <w:rFonts w:hint="eastAsia" w:ascii="宋体" w:hAnsi="宋体"/>
                <w:color w:val="000000"/>
                <w:sz w:val="21"/>
                <w:szCs w:val="21"/>
              </w:rPr>
              <w:t>整</w:t>
            </w:r>
            <w:r>
              <w:rPr>
                <w:rFonts w:hint="eastAsia" w:ascii="宋体" w:hAnsi="宋体"/>
                <w:color w:val="000000"/>
                <w:sz w:val="21"/>
                <w:szCs w:val="21"/>
                <w:lang w:eastAsia="zh-CN"/>
              </w:rPr>
              <w:t>（</w:t>
            </w:r>
            <w:r>
              <w:rPr>
                <w:rFonts w:hint="eastAsia" w:ascii="宋体" w:hAnsi="宋体"/>
                <w:color w:val="000000"/>
                <w:sz w:val="21"/>
                <w:szCs w:val="21"/>
                <w:lang w:val="en-US" w:eastAsia="zh-CN"/>
              </w:rPr>
              <w:t>小写</w:t>
            </w:r>
            <w:r>
              <w:rPr>
                <w:rFonts w:hint="eastAsia" w:ascii="宋体" w:hAnsi="宋体"/>
                <w:color w:val="000000"/>
                <w:sz w:val="21"/>
                <w:szCs w:val="21"/>
                <w:lang w:eastAsia="zh-CN"/>
              </w:rPr>
              <w:t>）</w:t>
            </w:r>
            <w:r>
              <w:rPr>
                <w:rFonts w:hint="eastAsia" w:ascii="宋体" w:hAnsi="宋体"/>
                <w:color w:val="000000"/>
                <w:sz w:val="21"/>
                <w:szCs w:val="21"/>
              </w:rPr>
              <w:t>¥</w:t>
            </w:r>
            <w:r>
              <w:rPr>
                <w:rFonts w:hint="eastAsia" w:ascii="宋体" w:hAnsi="宋体"/>
                <w:color w:val="000000"/>
                <w:sz w:val="21"/>
                <w:szCs w:val="21"/>
                <w:lang w:val="en-US" w:eastAsia="zh-CN"/>
              </w:rPr>
              <w:t>99900000.00</w:t>
            </w:r>
            <w:r>
              <w:rPr>
                <w:rFonts w:hint="eastAsia" w:ascii="宋体" w:hAnsi="宋体"/>
                <w:color w:val="000000"/>
                <w:sz w:val="21"/>
                <w:szCs w:val="21"/>
              </w:rPr>
              <w:t>元的移交履约保函</w:t>
            </w:r>
            <w:r>
              <w:rPr>
                <w:rFonts w:hint="eastAsia" w:ascii="宋体" w:hAnsi="宋体"/>
                <w:color w:val="000000"/>
                <w:sz w:val="21"/>
                <w:szCs w:val="21"/>
                <w:lang w:eastAsia="zh-CN"/>
              </w:rPr>
              <w:t>（</w:t>
            </w:r>
            <w:r>
              <w:rPr>
                <w:rFonts w:hint="eastAsia" w:ascii="宋体" w:hAnsi="宋体"/>
                <w:color w:val="000000"/>
                <w:sz w:val="21"/>
                <w:szCs w:val="21"/>
                <w:lang w:val="en-US" w:eastAsia="zh-CN"/>
              </w:rPr>
              <w:t>按一次大修费用计算</w:t>
            </w:r>
            <w:r>
              <w:rPr>
                <w:rFonts w:hint="eastAsia" w:ascii="宋体" w:hAnsi="宋体"/>
                <w:color w:val="000000"/>
                <w:sz w:val="21"/>
                <w:szCs w:val="21"/>
                <w:lang w:eastAsia="zh-CN"/>
              </w:rPr>
              <w:t>）</w:t>
            </w:r>
            <w:r>
              <w:rPr>
                <w:rFonts w:hint="eastAsia" w:ascii="宋体" w:hAnsi="宋体"/>
                <w:color w:val="000000"/>
                <w:sz w:val="21"/>
                <w:szCs w:val="21"/>
              </w:rPr>
              <w:t>，在移交完毕且质量保证期满后退还项目公司。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11</w:t>
            </w:r>
          </w:p>
        </w:tc>
        <w:tc>
          <w:tcPr>
            <w:tcW w:w="7875" w:type="dxa"/>
            <w:gridSpan w:val="3"/>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新宋体" w:hAnsi="新宋体" w:eastAsia="新宋体"/>
                <w:b/>
                <w:color w:val="000000"/>
                <w:sz w:val="21"/>
                <w:szCs w:val="21"/>
              </w:rPr>
            </w:pPr>
            <w:r>
              <w:rPr>
                <w:rFonts w:hint="eastAsia" w:ascii="新宋体" w:hAnsi="新宋体" w:eastAsia="新宋体"/>
                <w:b/>
                <w:color w:val="000000"/>
                <w:sz w:val="21"/>
                <w:szCs w:val="21"/>
              </w:rPr>
              <w:t>需要补充的</w:t>
            </w:r>
            <w:r>
              <w:rPr>
                <w:rFonts w:hint="default" w:ascii="新宋体" w:hAnsi="新宋体" w:eastAsia="新宋体"/>
                <w:b/>
                <w:color w:val="000000"/>
                <w:sz w:val="21"/>
                <w:szCs w:val="21"/>
              </w:rPr>
              <w:t>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11.1</w:t>
            </w:r>
          </w:p>
        </w:tc>
        <w:tc>
          <w:tcPr>
            <w:tcW w:w="210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投标人代表出席开标会</w:t>
            </w:r>
          </w:p>
        </w:tc>
        <w:tc>
          <w:tcPr>
            <w:tcW w:w="5775" w:type="dxa"/>
            <w:gridSpan w:val="2"/>
            <w:vAlign w:val="center"/>
          </w:tcPr>
          <w:p>
            <w:pPr>
              <w:keepNext w:val="0"/>
              <w:keepLines w:val="0"/>
              <w:pageBreakBefore w:val="0"/>
              <w:suppressLineNumbers w:val="0"/>
              <w:kinsoku/>
              <w:bidi w:val="0"/>
              <w:spacing w:before="0" w:beforeAutospacing="0" w:after="0" w:afterAutospacing="0" w:line="360" w:lineRule="auto"/>
              <w:ind w:left="0" w:right="62" w:rightChars="26" w:firstLine="0" w:firstLineChars="0"/>
              <w:textAlignment w:val="auto"/>
              <w:rPr>
                <w:rFonts w:hint="default"/>
                <w:color w:val="000000"/>
                <w:sz w:val="21"/>
                <w:szCs w:val="21"/>
                <w:u w:val="single"/>
              </w:rPr>
            </w:pPr>
            <w:bookmarkStart w:id="6" w:name="_Toc435693373"/>
            <w:r>
              <w:rPr>
                <w:rStyle w:val="70"/>
                <w:rFonts w:hint="eastAsia"/>
                <w:sz w:val="21"/>
                <w:szCs w:val="21"/>
              </w:rPr>
              <w:t>按照本须知第</w:t>
            </w:r>
            <w:r>
              <w:rPr>
                <w:rStyle w:val="70"/>
                <w:rFonts w:hint="default"/>
                <w:sz w:val="21"/>
                <w:szCs w:val="21"/>
              </w:rPr>
              <w:t>5.1</w:t>
            </w:r>
            <w:r>
              <w:rPr>
                <w:rStyle w:val="70"/>
                <w:rFonts w:hint="eastAsia"/>
                <w:sz w:val="21"/>
                <w:szCs w:val="21"/>
              </w:rPr>
              <w:t>款的规定，采购人邀请所有投标人的法定代表人或其委托代理人参加开标会。投标人的法定代表人或其委托代理人应当按时参加开标会，并在采购人按开标程序进行点名时，向采购人提交法定代表人身份证明文件或法定代表人授权委托书，出示本人身份证，以证明其出席，否则，其投标文件按废标处理</w:t>
            </w:r>
            <w:bookmarkEnd w:id="6"/>
            <w:r>
              <w:rPr>
                <w:rFonts w:hint="eastAsia" w:ascii="宋体" w:hAnsi="Times New Roman"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11.2</w:t>
            </w:r>
          </w:p>
        </w:tc>
        <w:tc>
          <w:tcPr>
            <w:tcW w:w="210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中标公示</w:t>
            </w:r>
          </w:p>
        </w:tc>
        <w:tc>
          <w:tcPr>
            <w:tcW w:w="5775" w:type="dxa"/>
            <w:gridSpan w:val="2"/>
            <w:vAlign w:val="center"/>
          </w:tcPr>
          <w:p>
            <w:pPr>
              <w:keepNext w:val="0"/>
              <w:keepLines w:val="0"/>
              <w:pageBreakBefore w:val="0"/>
              <w:suppressLineNumbers w:val="0"/>
              <w:kinsoku/>
              <w:bidi w:val="0"/>
              <w:spacing w:before="0" w:beforeAutospacing="0" w:after="0" w:afterAutospacing="0" w:line="360" w:lineRule="auto"/>
              <w:ind w:left="0" w:right="62" w:rightChars="26" w:firstLine="0" w:firstLineChars="0"/>
              <w:textAlignment w:val="auto"/>
              <w:rPr>
                <w:rFonts w:hint="default" w:ascii="宋体" w:hAnsi="Times New Roman" w:cs="宋体"/>
                <w:color w:val="000000"/>
                <w:kern w:val="0"/>
                <w:sz w:val="21"/>
                <w:szCs w:val="21"/>
              </w:rPr>
            </w:pPr>
            <w:r>
              <w:rPr>
                <w:rFonts w:hint="eastAsia" w:ascii="宋体" w:hAnsi="Times New Roman" w:cs="宋体"/>
                <w:color w:val="000000"/>
                <w:kern w:val="0"/>
                <w:sz w:val="21"/>
                <w:szCs w:val="21"/>
              </w:rPr>
              <w:t>1、确定本项目预中标人后，采购人将在</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河南省政府采购网</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郑州市政府采购网</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登封市政府采购网</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中国招标采购网</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河南招标采购综合网</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rPr>
              <w:t>上进行公示，公示时间为五（</w:t>
            </w:r>
            <w:r>
              <w:rPr>
                <w:rFonts w:hint="default" w:cs="Arial"/>
                <w:color w:val="000000"/>
                <w:kern w:val="0"/>
                <w:sz w:val="21"/>
                <w:szCs w:val="21"/>
              </w:rPr>
              <w:t>5</w:t>
            </w:r>
            <w:r>
              <w:rPr>
                <w:rFonts w:hint="eastAsia" w:ascii="宋体" w:hAnsi="Times New Roman" w:cs="宋体"/>
                <w:color w:val="000000"/>
                <w:kern w:val="0"/>
                <w:sz w:val="21"/>
                <w:szCs w:val="21"/>
              </w:rPr>
              <w:t>）个工作日。</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000000"/>
                <w:sz w:val="21"/>
                <w:szCs w:val="21"/>
              </w:rPr>
            </w:pPr>
            <w:r>
              <w:rPr>
                <w:rFonts w:hint="eastAsia"/>
                <w:color w:val="000000"/>
                <w:sz w:val="21"/>
                <w:szCs w:val="21"/>
              </w:rPr>
              <w:t>公示期间各有关当事人对中标结果有异议的，可以在公示期内以书面形式向招标代理机构或采购人提出质疑或举报，逾期将不再受理；若经有关当事人对预中标人的质疑或举报经有关部门确认属实的，将根据具体情况进行处理，采购人有权取消该预中标人的中标资格。</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Theme="minorEastAsia" w:hAnsiTheme="minorEastAsia"/>
                <w:color w:val="000000"/>
                <w:sz w:val="21"/>
                <w:szCs w:val="21"/>
              </w:rPr>
            </w:pPr>
            <w:r>
              <w:rPr>
                <w:rFonts w:hint="default" w:asciiTheme="minorEastAsia" w:hAnsiTheme="minorEastAsia"/>
                <w:color w:val="000000"/>
                <w:sz w:val="21"/>
                <w:szCs w:val="21"/>
              </w:rPr>
              <w:t>2</w:t>
            </w:r>
            <w:r>
              <w:rPr>
                <w:rFonts w:hint="eastAsia" w:asciiTheme="minorEastAsia" w:hAnsiTheme="minorEastAsia"/>
                <w:color w:val="000000"/>
                <w:sz w:val="21"/>
                <w:szCs w:val="21"/>
              </w:rPr>
              <w:t>、授标</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000000"/>
                <w:sz w:val="21"/>
                <w:szCs w:val="21"/>
              </w:rPr>
            </w:pPr>
            <w:r>
              <w:rPr>
                <w:rFonts w:hint="default" w:asciiTheme="minorEastAsia" w:hAnsiTheme="minorEastAsia"/>
                <w:color w:val="000000"/>
                <w:sz w:val="21"/>
                <w:szCs w:val="21"/>
              </w:rPr>
              <w:t>2.1</w:t>
            </w:r>
            <w:r>
              <w:rPr>
                <w:rFonts w:hint="eastAsia"/>
                <w:color w:val="000000"/>
                <w:sz w:val="21"/>
                <w:szCs w:val="21"/>
              </w:rPr>
              <w:t>公示期满后两（</w:t>
            </w:r>
            <w:r>
              <w:rPr>
                <w:rFonts w:hint="default"/>
                <w:color w:val="000000"/>
                <w:sz w:val="21"/>
                <w:szCs w:val="21"/>
              </w:rPr>
              <w:t>2</w:t>
            </w:r>
            <w:r>
              <w:rPr>
                <w:rFonts w:hint="eastAsia"/>
                <w:color w:val="000000"/>
                <w:sz w:val="21"/>
                <w:szCs w:val="21"/>
              </w:rPr>
              <w:t>）个工作日内，采购人将中标结果在</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河南省政府采购网</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郑州市政府采购网</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登封市政府采购网</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中国招标采购网</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河南招标采购综合网</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上</w:t>
            </w:r>
            <w:r>
              <w:rPr>
                <w:rFonts w:hint="eastAsia"/>
                <w:color w:val="000000"/>
                <w:sz w:val="21"/>
                <w:szCs w:val="21"/>
              </w:rPr>
              <w:t>进行公</w:t>
            </w:r>
            <w:r>
              <w:rPr>
                <w:rFonts w:hint="eastAsia"/>
                <w:color w:val="000000"/>
                <w:sz w:val="21"/>
                <w:szCs w:val="21"/>
                <w:lang w:val="en-US" w:eastAsia="zh-CN"/>
              </w:rPr>
              <w:t>示</w:t>
            </w:r>
            <w:r>
              <w:rPr>
                <w:rFonts w:hint="eastAsia"/>
                <w:color w:val="000000"/>
                <w:sz w:val="21"/>
                <w:szCs w:val="21"/>
              </w:rPr>
              <w:t>，如无第三人提出有效异议，采购人将向中标人发出中标、成交通知书。</w:t>
            </w:r>
          </w:p>
          <w:p>
            <w:pPr>
              <w:keepNext w:val="0"/>
              <w:keepLines w:val="0"/>
              <w:pageBreakBefore w:val="0"/>
              <w:suppressLineNumbers w:val="0"/>
              <w:kinsoku/>
              <w:bidi w:val="0"/>
              <w:spacing w:before="0" w:beforeAutospacing="0" w:after="0" w:afterAutospacing="0" w:line="360" w:lineRule="auto"/>
              <w:ind w:left="0" w:right="62" w:rightChars="26" w:firstLine="0" w:firstLineChars="0"/>
              <w:textAlignment w:val="auto"/>
              <w:rPr>
                <w:rFonts w:hint="default" w:ascii="宋体" w:hAnsi="Times New Roman" w:cs="宋体"/>
                <w:color w:val="000000"/>
                <w:kern w:val="0"/>
                <w:sz w:val="21"/>
                <w:szCs w:val="21"/>
              </w:rPr>
            </w:pPr>
            <w:r>
              <w:rPr>
                <w:rFonts w:hint="eastAsia" w:ascii="宋体" w:hAnsi="Times New Roman" w:cs="宋体"/>
                <w:color w:val="000000"/>
                <w:kern w:val="0"/>
                <w:sz w:val="21"/>
                <w:szCs w:val="21"/>
              </w:rPr>
              <w:t>2.2.中标人应与</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登封豫资建设发展有限公司</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rPr>
              <w:t>签署按本招标文件第</w:t>
            </w:r>
            <w:r>
              <w:rPr>
                <w:rFonts w:hint="eastAsia" w:ascii="宋体" w:hAnsi="Times New Roman" w:cs="宋体"/>
                <w:color w:val="000000"/>
                <w:kern w:val="0"/>
                <w:sz w:val="21"/>
                <w:szCs w:val="21"/>
                <w:lang w:val="en-US" w:eastAsia="zh-CN"/>
              </w:rPr>
              <w:t>二</w:t>
            </w:r>
            <w:r>
              <w:rPr>
                <w:rFonts w:hint="eastAsia" w:ascii="宋体" w:hAnsi="Times New Roman" w:cs="宋体"/>
                <w:color w:val="000000"/>
                <w:kern w:val="0"/>
                <w:sz w:val="21"/>
                <w:szCs w:val="21"/>
              </w:rPr>
              <w:t>卷所列《项目公司股东协议》、《项目公司章程》文本（含采购人对该协议及章程文本澄清意见）签订相应协议和章程</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lang w:val="en-US" w:eastAsia="zh-CN"/>
              </w:rPr>
              <w:t>在项目公司成立后，由项目公司与采购人签署《PPP项目合同》</w:t>
            </w:r>
            <w:r>
              <w:rPr>
                <w:rFonts w:hint="eastAsia" w:ascii="宋体" w:hAnsi="Times New Roman" w:cs="宋体"/>
                <w:color w:val="000000"/>
                <w:kern w:val="0"/>
                <w:sz w:val="21"/>
                <w:szCs w:val="21"/>
              </w:rPr>
              <w:t>。</w:t>
            </w:r>
          </w:p>
          <w:p>
            <w:pPr>
              <w:keepNext w:val="0"/>
              <w:keepLines w:val="0"/>
              <w:pageBreakBefore w:val="0"/>
              <w:suppressLineNumbers w:val="0"/>
              <w:kinsoku/>
              <w:bidi w:val="0"/>
              <w:spacing w:before="0" w:beforeAutospacing="0" w:after="0" w:afterAutospacing="0" w:line="360" w:lineRule="auto"/>
              <w:ind w:left="0" w:right="62" w:rightChars="26" w:firstLine="0" w:firstLineChars="0"/>
              <w:textAlignment w:val="auto"/>
              <w:rPr>
                <w:rFonts w:hint="default" w:ascii="宋体" w:hAnsi="Times New Roman" w:cs="宋体"/>
                <w:color w:val="000000"/>
                <w:kern w:val="0"/>
                <w:sz w:val="21"/>
                <w:szCs w:val="21"/>
              </w:rPr>
            </w:pPr>
            <w:r>
              <w:rPr>
                <w:rFonts w:hint="eastAsia" w:ascii="宋体" w:hAnsi="Times New Roman" w:cs="宋体"/>
                <w:color w:val="000000"/>
                <w:kern w:val="0"/>
                <w:sz w:val="21"/>
                <w:szCs w:val="21"/>
              </w:rPr>
              <w:t>2.3.如中标人未能按规定</w:t>
            </w:r>
            <w:r>
              <w:rPr>
                <w:rFonts w:hint="eastAsia" w:ascii="宋体" w:hAnsi="Times New Roman" w:cs="宋体"/>
                <w:color w:val="000000"/>
                <w:kern w:val="0"/>
                <w:sz w:val="21"/>
                <w:szCs w:val="21"/>
                <w:lang w:val="en-US" w:eastAsia="zh-CN"/>
              </w:rPr>
              <w:t>签署</w:t>
            </w:r>
            <w:r>
              <w:rPr>
                <w:rFonts w:hint="eastAsia" w:ascii="宋体" w:hAnsi="Times New Roman" w:cs="宋体"/>
                <w:color w:val="000000"/>
                <w:kern w:val="0"/>
                <w:sz w:val="21"/>
                <w:szCs w:val="21"/>
              </w:rPr>
              <w:t>《</w:t>
            </w:r>
            <w:r>
              <w:rPr>
                <w:rFonts w:hint="eastAsia" w:cs="宋体"/>
                <w:color w:val="000000"/>
                <w:kern w:val="0"/>
                <w:sz w:val="21"/>
                <w:szCs w:val="21"/>
                <w:lang w:val="en-US" w:eastAsia="zh-CN"/>
              </w:rPr>
              <w:t>登封市环嵩山旅游公路改建工程</w:t>
            </w:r>
            <w:r>
              <w:rPr>
                <w:rFonts w:hint="eastAsia" w:ascii="宋体" w:hAnsi="Times New Roman" w:cs="宋体"/>
                <w:color w:val="000000"/>
                <w:kern w:val="0"/>
                <w:sz w:val="21"/>
                <w:szCs w:val="21"/>
              </w:rPr>
              <w:t>PPP</w:t>
            </w:r>
            <w:r>
              <w:rPr>
                <w:rFonts w:hint="eastAsia" w:ascii="宋体" w:hAnsi="Times New Roman" w:cs="宋体"/>
                <w:color w:val="000000"/>
                <w:kern w:val="0"/>
                <w:sz w:val="21"/>
                <w:szCs w:val="21"/>
                <w:lang w:val="en-US" w:eastAsia="zh-CN"/>
              </w:rPr>
              <w:t>项目合同</w:t>
            </w:r>
            <w:r>
              <w:rPr>
                <w:rFonts w:hint="eastAsia" w:ascii="宋体" w:hAnsi="Times New Roman" w:cs="宋体"/>
                <w:color w:val="000000"/>
                <w:kern w:val="0"/>
                <w:sz w:val="21"/>
                <w:szCs w:val="21"/>
              </w:rPr>
              <w:t>》、《项目公司股东协议》</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rPr>
              <w:t>《</w:t>
            </w:r>
            <w:r>
              <w:rPr>
                <w:rFonts w:hint="eastAsia" w:ascii="宋体" w:hAnsi="Times New Roman" w:cs="宋体"/>
                <w:color w:val="000000"/>
                <w:kern w:val="0"/>
                <w:sz w:val="21"/>
                <w:szCs w:val="21"/>
                <w:lang w:val="en-US" w:eastAsia="zh-CN"/>
              </w:rPr>
              <w:t>投资协议</w:t>
            </w:r>
            <w:r>
              <w:rPr>
                <w:rFonts w:hint="eastAsia" w:ascii="宋体" w:hAnsi="Times New Roman" w:cs="宋体"/>
                <w:color w:val="000000"/>
                <w:kern w:val="0"/>
                <w:sz w:val="21"/>
                <w:szCs w:val="21"/>
              </w:rPr>
              <w:t>》及《项目公司章程》，则采购人可全额</w:t>
            </w:r>
            <w:r>
              <w:rPr>
                <w:rFonts w:hint="eastAsia" w:ascii="宋体" w:hAnsi="Times New Roman" w:cs="宋体"/>
                <w:color w:val="000000"/>
                <w:kern w:val="0"/>
                <w:sz w:val="21"/>
                <w:szCs w:val="21"/>
                <w:lang w:val="en-US" w:eastAsia="zh-CN"/>
              </w:rPr>
              <w:t>没收</w:t>
            </w:r>
            <w:r>
              <w:rPr>
                <w:rFonts w:hint="eastAsia" w:ascii="宋体" w:hAnsi="Times New Roman" w:cs="宋体"/>
                <w:color w:val="000000"/>
                <w:kern w:val="0"/>
                <w:sz w:val="21"/>
                <w:szCs w:val="21"/>
              </w:rPr>
              <w:t>投标保证金，且撤销中标、成交通知书。</w:t>
            </w:r>
          </w:p>
          <w:p>
            <w:pPr>
              <w:keepNext w:val="0"/>
              <w:keepLines w:val="0"/>
              <w:pageBreakBefore w:val="0"/>
              <w:suppressLineNumbers w:val="0"/>
              <w:kinsoku/>
              <w:bidi w:val="0"/>
              <w:spacing w:before="0" w:beforeAutospacing="0" w:after="0" w:afterAutospacing="0" w:line="360" w:lineRule="auto"/>
              <w:ind w:left="0" w:right="62" w:rightChars="26" w:firstLine="0" w:firstLineChars="0"/>
              <w:textAlignment w:val="auto"/>
              <w:rPr>
                <w:rFonts w:hint="default" w:ascii="宋体" w:hAnsi="Times New Roman" w:cs="宋体"/>
                <w:color w:val="000000"/>
                <w:kern w:val="0"/>
                <w:sz w:val="21"/>
                <w:szCs w:val="21"/>
              </w:rPr>
            </w:pPr>
            <w:r>
              <w:rPr>
                <w:rFonts w:hint="eastAsia" w:ascii="宋体" w:hAnsi="Times New Roman" w:cs="宋体"/>
                <w:color w:val="000000"/>
                <w:kern w:val="0"/>
                <w:sz w:val="21"/>
                <w:szCs w:val="21"/>
              </w:rPr>
              <w:t>2.4.如中标人未能按第2.2条款规定</w:t>
            </w:r>
            <w:r>
              <w:rPr>
                <w:rFonts w:hint="eastAsia" w:ascii="宋体" w:hAnsi="Times New Roman" w:cs="宋体"/>
                <w:color w:val="000000"/>
                <w:kern w:val="0"/>
                <w:sz w:val="21"/>
                <w:szCs w:val="21"/>
                <w:lang w:val="en-US" w:eastAsia="zh-CN"/>
              </w:rPr>
              <w:t>签署</w:t>
            </w:r>
            <w:r>
              <w:rPr>
                <w:rFonts w:hint="eastAsia" w:ascii="宋体" w:hAnsi="Times New Roman" w:cs="宋体"/>
                <w:color w:val="000000"/>
                <w:kern w:val="0"/>
                <w:sz w:val="21"/>
                <w:szCs w:val="21"/>
              </w:rPr>
              <w:t>《</w:t>
            </w:r>
            <w:r>
              <w:rPr>
                <w:rFonts w:hint="eastAsia" w:cs="宋体"/>
                <w:color w:val="000000"/>
                <w:kern w:val="0"/>
                <w:sz w:val="21"/>
                <w:szCs w:val="21"/>
                <w:lang w:val="en-US" w:eastAsia="zh-CN"/>
              </w:rPr>
              <w:t>登封市环嵩山旅游公路改建工程</w:t>
            </w:r>
            <w:r>
              <w:rPr>
                <w:rFonts w:hint="eastAsia" w:ascii="宋体" w:hAnsi="Times New Roman" w:cs="宋体"/>
                <w:color w:val="000000"/>
                <w:kern w:val="0"/>
                <w:sz w:val="21"/>
                <w:szCs w:val="21"/>
              </w:rPr>
              <w:t>PPP</w:t>
            </w:r>
            <w:r>
              <w:rPr>
                <w:rFonts w:hint="eastAsia" w:ascii="宋体" w:hAnsi="Times New Roman" w:cs="宋体"/>
                <w:color w:val="000000"/>
                <w:kern w:val="0"/>
                <w:sz w:val="21"/>
                <w:szCs w:val="21"/>
                <w:lang w:val="en-US" w:eastAsia="zh-CN"/>
              </w:rPr>
              <w:t>项目合同</w:t>
            </w:r>
            <w:r>
              <w:rPr>
                <w:rFonts w:hint="eastAsia" w:ascii="宋体" w:hAnsi="Times New Roman" w:cs="宋体"/>
                <w:color w:val="000000"/>
                <w:kern w:val="0"/>
                <w:sz w:val="21"/>
                <w:szCs w:val="21"/>
              </w:rPr>
              <w:t>》、《项目公司章程》</w:t>
            </w:r>
            <w:r>
              <w:rPr>
                <w:rFonts w:hint="eastAsia" w:cs="宋体"/>
                <w:color w:val="000000"/>
                <w:kern w:val="0"/>
                <w:sz w:val="21"/>
                <w:szCs w:val="21"/>
                <w:lang w:eastAsia="zh-CN"/>
              </w:rPr>
              <w:t>、</w:t>
            </w:r>
            <w:r>
              <w:rPr>
                <w:rFonts w:hint="eastAsia" w:ascii="宋体" w:hAnsi="Times New Roman" w:cs="宋体"/>
                <w:color w:val="000000"/>
                <w:kern w:val="0"/>
                <w:sz w:val="21"/>
                <w:szCs w:val="21"/>
              </w:rPr>
              <w:t>《</w:t>
            </w:r>
            <w:r>
              <w:rPr>
                <w:rFonts w:hint="eastAsia" w:ascii="宋体" w:hAnsi="Times New Roman" w:cs="宋体"/>
                <w:color w:val="000000"/>
                <w:kern w:val="0"/>
                <w:sz w:val="21"/>
                <w:szCs w:val="21"/>
                <w:lang w:val="en-US" w:eastAsia="zh-CN"/>
              </w:rPr>
              <w:t>投资协议</w:t>
            </w:r>
            <w:r>
              <w:rPr>
                <w:rFonts w:hint="eastAsia" w:ascii="宋体" w:hAnsi="Times New Roman" w:cs="宋体"/>
                <w:color w:val="000000"/>
                <w:kern w:val="0"/>
                <w:sz w:val="21"/>
                <w:szCs w:val="21"/>
              </w:rPr>
              <w:t>》</w:t>
            </w:r>
            <w:r>
              <w:rPr>
                <w:rFonts w:hint="eastAsia" w:cs="宋体"/>
                <w:color w:val="000000"/>
                <w:kern w:val="0"/>
                <w:sz w:val="21"/>
                <w:szCs w:val="21"/>
                <w:lang w:eastAsia="zh-CN"/>
              </w:rPr>
              <w:t>、</w:t>
            </w:r>
            <w:r>
              <w:rPr>
                <w:rFonts w:hint="eastAsia" w:ascii="宋体" w:hAnsi="Times New Roman" w:cs="宋体"/>
                <w:color w:val="000000"/>
                <w:kern w:val="0"/>
                <w:sz w:val="21"/>
                <w:szCs w:val="21"/>
              </w:rPr>
              <w:t>《项目公司股东协议》是由市政府或采购人或</w:t>
            </w:r>
            <w:r>
              <w:rPr>
                <w:rFonts w:hint="eastAsia" w:ascii="宋体" w:hAnsi="Times New Roman" w:cs="宋体"/>
                <w:color w:val="000000"/>
                <w:kern w:val="0"/>
                <w:sz w:val="21"/>
                <w:szCs w:val="21"/>
                <w:lang w:eastAsia="zh-CN"/>
              </w:rPr>
              <w:t>“登封豫资建设发展有限公司”</w:t>
            </w:r>
            <w:r>
              <w:rPr>
                <w:rFonts w:hint="eastAsia" w:ascii="宋体" w:hAnsi="Times New Roman" w:cs="宋体"/>
                <w:color w:val="000000"/>
                <w:kern w:val="0"/>
                <w:sz w:val="21"/>
                <w:szCs w:val="21"/>
              </w:rPr>
              <w:t>的原因或不可抗力事件，则第2.3条款不适用。</w:t>
            </w:r>
          </w:p>
          <w:p>
            <w:pPr>
              <w:keepNext w:val="0"/>
              <w:keepLines w:val="0"/>
              <w:pageBreakBefore w:val="0"/>
              <w:suppressLineNumbers w:val="0"/>
              <w:kinsoku/>
              <w:bidi w:val="0"/>
              <w:spacing w:before="0" w:beforeAutospacing="0" w:after="0" w:afterAutospacing="0" w:line="360" w:lineRule="auto"/>
              <w:ind w:left="0" w:right="62" w:rightChars="26" w:firstLine="0" w:firstLineChars="0"/>
              <w:textAlignment w:val="auto"/>
              <w:rPr>
                <w:rFonts w:hint="default"/>
                <w:color w:val="000000"/>
                <w:sz w:val="21"/>
                <w:szCs w:val="21"/>
              </w:rPr>
            </w:pPr>
            <w:r>
              <w:rPr>
                <w:rFonts w:hint="eastAsia" w:ascii="宋体" w:hAnsi="Times New Roman" w:cs="宋体"/>
                <w:color w:val="000000"/>
                <w:kern w:val="0"/>
                <w:sz w:val="21"/>
                <w:szCs w:val="21"/>
              </w:rPr>
              <w:t>2.5.如果采购人与</w:t>
            </w:r>
            <w:r>
              <w:rPr>
                <w:rFonts w:hint="eastAsia" w:ascii="宋体" w:hAnsi="Times New Roman" w:cs="宋体"/>
                <w:color w:val="000000"/>
                <w:kern w:val="0"/>
                <w:sz w:val="21"/>
                <w:szCs w:val="21"/>
                <w:lang w:eastAsia="zh-CN"/>
              </w:rPr>
              <w:t>登封豫资建设发展有限公司</w:t>
            </w:r>
            <w:r>
              <w:rPr>
                <w:rFonts w:hint="eastAsia" w:ascii="宋体" w:hAnsi="Times New Roman" w:cs="宋体"/>
                <w:color w:val="000000"/>
                <w:kern w:val="0"/>
                <w:sz w:val="21"/>
                <w:szCs w:val="21"/>
              </w:rPr>
              <w:t>不按第2.2条款规定签订项目协议，则中标人可以撤回投标文件，其投标保证金不会被</w:t>
            </w:r>
            <w:r>
              <w:rPr>
                <w:rFonts w:hint="eastAsia" w:ascii="宋体" w:hAnsi="Times New Roman" w:cs="宋体"/>
                <w:color w:val="000000"/>
                <w:kern w:val="0"/>
                <w:sz w:val="21"/>
                <w:szCs w:val="21"/>
                <w:lang w:val="en-US" w:eastAsia="zh-CN"/>
              </w:rPr>
              <w:t>没收</w:t>
            </w:r>
            <w:r>
              <w:rPr>
                <w:rFonts w:hint="eastAsia" w:ascii="宋体" w:hAnsi="Times New Roman"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11.3</w:t>
            </w:r>
          </w:p>
        </w:tc>
        <w:tc>
          <w:tcPr>
            <w:tcW w:w="210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知识产权</w:t>
            </w:r>
          </w:p>
        </w:tc>
        <w:tc>
          <w:tcPr>
            <w:tcW w:w="5775" w:type="dxa"/>
            <w:gridSpan w:val="2"/>
            <w:vAlign w:val="center"/>
          </w:tcPr>
          <w:p>
            <w:pPr>
              <w:keepNext w:val="0"/>
              <w:keepLines w:val="0"/>
              <w:pageBreakBefore w:val="0"/>
              <w:suppressLineNumbers w:val="0"/>
              <w:kinsoku/>
              <w:bidi w:val="0"/>
              <w:spacing w:before="0" w:beforeAutospacing="0" w:after="0" w:afterAutospacing="0" w:line="360" w:lineRule="auto"/>
              <w:ind w:left="0" w:right="62" w:rightChars="26" w:firstLine="0" w:firstLineChars="0"/>
              <w:textAlignment w:val="auto"/>
              <w:rPr>
                <w:rFonts w:hint="default"/>
                <w:color w:val="000000"/>
                <w:sz w:val="21"/>
                <w:szCs w:val="21"/>
              </w:rPr>
            </w:pPr>
            <w:r>
              <w:rPr>
                <w:rFonts w:hint="eastAsia" w:ascii="宋体" w:hAnsi="Times New Roman" w:cs="宋体"/>
                <w:color w:val="000000"/>
                <w:kern w:val="0"/>
                <w:sz w:val="21"/>
                <w:szCs w:val="21"/>
              </w:rPr>
              <w:t>构成本招标文件各个组成部分的文件，未经采购人书面同意，投标人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11.4</w:t>
            </w:r>
          </w:p>
        </w:tc>
        <w:tc>
          <w:tcPr>
            <w:tcW w:w="210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重新招标的其他情形</w:t>
            </w:r>
          </w:p>
        </w:tc>
        <w:tc>
          <w:tcPr>
            <w:tcW w:w="577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000000"/>
                <w:sz w:val="21"/>
                <w:szCs w:val="21"/>
              </w:rPr>
            </w:pPr>
            <w:r>
              <w:rPr>
                <w:rFonts w:hint="eastAsia"/>
                <w:color w:val="000000"/>
                <w:sz w:val="21"/>
                <w:szCs w:val="21"/>
              </w:rPr>
              <w:t>除投标人须知正文第</w:t>
            </w:r>
            <w:r>
              <w:rPr>
                <w:rFonts w:hint="default"/>
                <w:color w:val="000000"/>
                <w:sz w:val="21"/>
                <w:szCs w:val="21"/>
              </w:rPr>
              <w:t>8</w:t>
            </w:r>
            <w:r>
              <w:rPr>
                <w:rFonts w:hint="eastAsia"/>
                <w:color w:val="000000"/>
                <w:sz w:val="21"/>
                <w:szCs w:val="21"/>
              </w:rPr>
              <w:t>条规定的情形外，除非已经产生中标候选人，在投标有效期内同意延长投标有效期的投标人少于三个的，采购人应当依法重新招标。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11.5</w:t>
            </w:r>
          </w:p>
        </w:tc>
        <w:tc>
          <w:tcPr>
            <w:tcW w:w="210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监</w:t>
            </w:r>
            <w:r>
              <w:rPr>
                <w:rFonts w:hint="default"/>
                <w:color w:val="000000"/>
                <w:sz w:val="21"/>
                <w:szCs w:val="21"/>
              </w:rPr>
              <w:t xml:space="preserve"> </w:t>
            </w:r>
            <w:r>
              <w:rPr>
                <w:rFonts w:hint="eastAsia"/>
                <w:color w:val="000000"/>
                <w:sz w:val="21"/>
                <w:szCs w:val="21"/>
              </w:rPr>
              <w:t>督</w:t>
            </w:r>
          </w:p>
        </w:tc>
        <w:tc>
          <w:tcPr>
            <w:tcW w:w="5775" w:type="dxa"/>
            <w:gridSpan w:val="2"/>
            <w:vAlign w:val="center"/>
          </w:tcPr>
          <w:p>
            <w:pPr>
              <w:keepNext w:val="0"/>
              <w:keepLines w:val="0"/>
              <w:pageBreakBefore w:val="0"/>
              <w:suppressLineNumbers w:val="0"/>
              <w:kinsoku/>
              <w:bidi w:val="0"/>
              <w:spacing w:before="0" w:beforeAutospacing="0" w:after="0" w:afterAutospacing="0" w:line="360" w:lineRule="auto"/>
              <w:ind w:left="0" w:right="62" w:rightChars="26" w:firstLine="0" w:firstLineChars="0"/>
              <w:textAlignment w:val="auto"/>
              <w:rPr>
                <w:rFonts w:hint="default"/>
                <w:color w:val="000000"/>
                <w:sz w:val="21"/>
                <w:szCs w:val="21"/>
                <w:u w:val="single"/>
              </w:rPr>
            </w:pPr>
            <w:r>
              <w:rPr>
                <w:rFonts w:hint="eastAsia" w:ascii="宋体" w:hAnsi="Times New Roman" w:cs="宋体"/>
                <w:color w:val="auto"/>
                <w:kern w:val="0"/>
                <w:sz w:val="21"/>
                <w:szCs w:val="21"/>
              </w:rPr>
              <w:t>本项目的招标投标活动及其相关当事人应当接受</w:t>
            </w:r>
            <w:r>
              <w:rPr>
                <w:rFonts w:hint="eastAsia" w:ascii="宋体" w:hAnsi="Times New Roman" w:cs="宋体"/>
                <w:color w:val="auto"/>
                <w:kern w:val="0"/>
                <w:sz w:val="21"/>
                <w:szCs w:val="21"/>
                <w:lang w:val="en-US" w:eastAsia="zh-CN"/>
              </w:rPr>
              <w:t>登封市财政局、登封市审计局、</w:t>
            </w:r>
            <w:r>
              <w:rPr>
                <w:rFonts w:hint="eastAsia" w:ascii="宋体" w:hAnsi="Times New Roman" w:cs="宋体"/>
                <w:color w:val="auto"/>
                <w:kern w:val="0"/>
                <w:sz w:val="21"/>
                <w:szCs w:val="21"/>
                <w:lang w:eastAsia="zh-CN"/>
              </w:rPr>
              <w:t>登封市交通运输局</w:t>
            </w:r>
            <w:r>
              <w:rPr>
                <w:rFonts w:hint="eastAsia" w:ascii="宋体" w:hAnsi="Times New Roman" w:cs="宋体"/>
                <w:color w:val="auto"/>
                <w:kern w:val="0"/>
                <w:sz w:val="21"/>
                <w:szCs w:val="21"/>
                <w:lang w:val="en-US" w:eastAsia="zh-CN"/>
              </w:rPr>
              <w:t>等相关监督部门</w:t>
            </w:r>
            <w:r>
              <w:rPr>
                <w:rFonts w:hint="eastAsia" w:ascii="宋体" w:hAnsi="Times New Roman" w:cs="宋体"/>
                <w:color w:val="auto"/>
                <w:kern w:val="0"/>
                <w:sz w:val="21"/>
                <w:szCs w:val="21"/>
              </w:rPr>
              <w:t>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11.6</w:t>
            </w:r>
          </w:p>
        </w:tc>
        <w:tc>
          <w:tcPr>
            <w:tcW w:w="210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解释权</w:t>
            </w:r>
          </w:p>
        </w:tc>
        <w:tc>
          <w:tcPr>
            <w:tcW w:w="5775" w:type="dxa"/>
            <w:gridSpan w:val="2"/>
            <w:vAlign w:val="center"/>
          </w:tcPr>
          <w:p>
            <w:pPr>
              <w:keepNext w:val="0"/>
              <w:keepLines w:val="0"/>
              <w:pageBreakBefore w:val="0"/>
              <w:suppressLineNumbers w:val="0"/>
              <w:kinsoku/>
              <w:bidi w:val="0"/>
              <w:spacing w:before="0" w:beforeAutospacing="0" w:after="0" w:afterAutospacing="0" w:line="360" w:lineRule="auto"/>
              <w:ind w:left="0" w:right="62" w:rightChars="26" w:firstLine="0" w:firstLineChars="0"/>
              <w:textAlignment w:val="auto"/>
              <w:rPr>
                <w:rFonts w:hint="default"/>
                <w:color w:val="000000"/>
                <w:sz w:val="21"/>
                <w:szCs w:val="21"/>
              </w:rPr>
            </w:pPr>
            <w:r>
              <w:rPr>
                <w:rFonts w:hint="eastAsia" w:ascii="宋体" w:hAnsi="Times New Roman" w:cs="宋体"/>
                <w:color w:val="000000"/>
                <w:kern w:val="0"/>
                <w:sz w:val="21"/>
                <w:szCs w:val="21"/>
              </w:rPr>
              <w:t>构成本招标文件的各个组成文件应互为解释，互为说明；如本招标文件第二卷所列文件的约定内容如与其他招标文件内容有不明确或不一致，以本招标文件第二卷所列文件约定内容为准。对于仅适用于招标投标阶段的相关规定，除招标文件中有特别规定外，按《招标公告（采购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11.7</w:t>
            </w:r>
          </w:p>
        </w:tc>
        <w:tc>
          <w:tcPr>
            <w:tcW w:w="210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采购人补充的其他</w:t>
            </w:r>
          </w:p>
        </w:tc>
        <w:tc>
          <w:tcPr>
            <w:tcW w:w="5775" w:type="dxa"/>
            <w:gridSpan w:val="2"/>
            <w:vAlign w:val="center"/>
          </w:tcPr>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sz w:val="21"/>
                <w:szCs w:val="21"/>
              </w:rPr>
            </w:pPr>
            <w:r>
              <w:rPr>
                <w:rFonts w:hint="default"/>
                <w:color w:val="auto"/>
                <w:sz w:val="21"/>
                <w:szCs w:val="21"/>
              </w:rPr>
              <w:t>政府</w:t>
            </w:r>
            <w:r>
              <w:rPr>
                <w:rFonts w:hint="eastAsia"/>
                <w:color w:val="auto"/>
                <w:sz w:val="21"/>
                <w:szCs w:val="21"/>
                <w:lang w:val="en-US" w:eastAsia="zh-CN"/>
              </w:rPr>
              <w:t>付费</w:t>
            </w:r>
            <w:r>
              <w:rPr>
                <w:rFonts w:hint="default"/>
                <w:color w:val="auto"/>
                <w:sz w:val="21"/>
                <w:szCs w:val="21"/>
              </w:rPr>
              <w:t>包含两部分：“可用性服务费”和“运维绩效服务费”。“可用性服务费”为“项目全部建设成本”对应的成本和投资收益。“运维绩效服务费”为政府为购买项目公司为维持项目可用性所进行的运营维护所产生的费用</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11.8</w:t>
            </w:r>
          </w:p>
        </w:tc>
        <w:tc>
          <w:tcPr>
            <w:tcW w:w="210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000000"/>
                <w:sz w:val="21"/>
                <w:szCs w:val="21"/>
              </w:rPr>
            </w:pPr>
            <w:r>
              <w:rPr>
                <w:rFonts w:hint="eastAsia"/>
                <w:color w:val="000000"/>
                <w:sz w:val="21"/>
                <w:szCs w:val="21"/>
              </w:rPr>
              <w:t>项目全部建设成本确定原则</w:t>
            </w:r>
          </w:p>
        </w:tc>
        <w:tc>
          <w:tcPr>
            <w:tcW w:w="5775" w:type="dxa"/>
            <w:gridSpan w:val="2"/>
            <w:vAlign w:val="center"/>
          </w:tcPr>
          <w:p>
            <w:pPr>
              <w:keepNext w:val="0"/>
              <w:keepLines w:val="0"/>
              <w:pageBreakBefore w:val="0"/>
              <w:suppressLineNumbers w:val="0"/>
              <w:kinsoku/>
              <w:bidi w:val="0"/>
              <w:spacing w:before="0" w:beforeAutospacing="0" w:after="0" w:afterAutospacing="0" w:line="360" w:lineRule="auto"/>
              <w:ind w:left="0" w:right="62" w:rightChars="26" w:firstLine="0" w:firstLineChars="0"/>
              <w:textAlignment w:val="auto"/>
              <w:rPr>
                <w:rFonts w:hint="default" w:ascii="Times New Roman" w:cs="Times New Roman"/>
                <w:sz w:val="21"/>
                <w:szCs w:val="21"/>
              </w:rPr>
            </w:pPr>
            <w:r>
              <w:rPr>
                <w:rFonts w:hint="eastAsia" w:ascii="Times New Roman" w:hAnsi="Times New Roman" w:eastAsia="宋体" w:cs="Times New Roman"/>
                <w:color w:val="auto"/>
                <w:kern w:val="0"/>
                <w:sz w:val="21"/>
                <w:szCs w:val="21"/>
                <w:lang w:val="en-US" w:eastAsia="zh-CN" w:bidi="ar-SA"/>
              </w:rPr>
              <w:t>本项目全部建设成本包括建筑安装工程费、设备及工具器具购置费、工程建设其他费用、基本预备费、建设期利息，各项具体内容及确定以登封市审计局出具的决算审计报告确认的数额为准。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55" w:type="dxa"/>
            <w:vMerge w:val="restart"/>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Unicode MS" w:hAnsi="Arial Unicode MS" w:eastAsia="Arial Unicode MS" w:cs="Arial Unicode MS"/>
                <w:color w:val="000000"/>
                <w:sz w:val="21"/>
                <w:szCs w:val="21"/>
              </w:rPr>
            </w:pPr>
            <w:r>
              <w:rPr>
                <w:rFonts w:hint="default" w:ascii="Arial Unicode MS" w:hAnsi="Arial Unicode MS" w:eastAsia="Arial Unicode MS" w:cs="Arial Unicode MS"/>
                <w:color w:val="000000"/>
                <w:sz w:val="21"/>
                <w:szCs w:val="21"/>
              </w:rPr>
              <w:t>11.9</w:t>
            </w:r>
          </w:p>
        </w:tc>
        <w:tc>
          <w:tcPr>
            <w:tcW w:w="2100" w:type="dxa"/>
            <w:shd w:val="clear" w:color="auto" w:fill="auto"/>
            <w:vAlign w:val="center"/>
          </w:tcPr>
          <w:p>
            <w:pPr>
              <w:pStyle w:val="66"/>
              <w:keepNext w:val="0"/>
              <w:keepLines w:val="0"/>
              <w:pageBreakBefore w:val="0"/>
              <w:suppressLineNumbers w:val="0"/>
              <w:kinsoku/>
              <w:bidi w:val="0"/>
              <w:spacing w:before="0" w:beforeAutospacing="0" w:after="0" w:afterAutospacing="0" w:line="360" w:lineRule="auto"/>
              <w:ind w:left="0" w:right="0"/>
              <w:jc w:val="center"/>
              <w:textAlignment w:val="auto"/>
              <w:rPr>
                <w:rFonts w:hint="default" w:ascii="Times New Roman" w:cs="Times New Roman"/>
                <w:color w:val="auto"/>
                <w:sz w:val="21"/>
                <w:szCs w:val="21"/>
                <w:highlight w:val="green"/>
              </w:rPr>
            </w:pPr>
            <w:r>
              <w:rPr>
                <w:rFonts w:hint="eastAsia" w:ascii="Times New Roman" w:cs="Times New Roman"/>
                <w:color w:val="auto"/>
                <w:sz w:val="21"/>
                <w:szCs w:val="21"/>
              </w:rPr>
              <w:t>其它说明1</w:t>
            </w:r>
          </w:p>
        </w:tc>
        <w:tc>
          <w:tcPr>
            <w:tcW w:w="5775" w:type="dxa"/>
            <w:gridSpan w:val="2"/>
            <w:vAlign w:val="center"/>
          </w:tcPr>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color w:val="auto"/>
                <w:sz w:val="21"/>
                <w:szCs w:val="21"/>
              </w:rPr>
            </w:pPr>
            <w:r>
              <w:rPr>
                <w:rFonts w:hint="eastAsia" w:ascii="Times New Roman" w:cs="Times New Roman"/>
                <w:color w:val="auto"/>
                <w:sz w:val="21"/>
                <w:szCs w:val="21"/>
              </w:rPr>
              <w:t>采购人将按照顺序与推荐的中标候选人对本招标文件第二卷所列</w:t>
            </w:r>
            <w:r>
              <w:rPr>
                <w:rFonts w:hint="eastAsia" w:ascii="宋体" w:hAnsi="Times New Roman" w:cs="宋体"/>
                <w:color w:val="000000"/>
                <w:kern w:val="0"/>
                <w:sz w:val="21"/>
                <w:szCs w:val="21"/>
              </w:rPr>
              <w:t>《</w:t>
            </w:r>
            <w:r>
              <w:rPr>
                <w:rFonts w:hint="eastAsia" w:cs="宋体"/>
                <w:color w:val="000000"/>
                <w:kern w:val="0"/>
                <w:sz w:val="21"/>
                <w:szCs w:val="21"/>
                <w:lang w:val="en-US" w:eastAsia="zh-CN"/>
              </w:rPr>
              <w:t>登封市环嵩山旅游公路改建工程</w:t>
            </w:r>
            <w:r>
              <w:rPr>
                <w:rFonts w:hint="eastAsia" w:ascii="宋体" w:hAnsi="Times New Roman" w:cs="宋体"/>
                <w:color w:val="000000"/>
                <w:kern w:val="0"/>
                <w:sz w:val="21"/>
                <w:szCs w:val="21"/>
              </w:rPr>
              <w:t>PPP</w:t>
            </w:r>
            <w:r>
              <w:rPr>
                <w:rFonts w:hint="eastAsia" w:ascii="宋体" w:hAnsi="Times New Roman" w:cs="宋体"/>
                <w:color w:val="000000"/>
                <w:kern w:val="0"/>
                <w:sz w:val="21"/>
                <w:szCs w:val="21"/>
                <w:lang w:val="en-US" w:eastAsia="zh-CN"/>
              </w:rPr>
              <w:t>项目合同</w:t>
            </w:r>
            <w:r>
              <w:rPr>
                <w:rFonts w:hint="eastAsia" w:ascii="宋体" w:hAnsi="Times New Roman" w:cs="宋体"/>
                <w:color w:val="000000"/>
                <w:kern w:val="0"/>
                <w:sz w:val="21"/>
                <w:szCs w:val="21"/>
              </w:rPr>
              <w:t>》、《项目公司章程》</w:t>
            </w:r>
            <w:r>
              <w:rPr>
                <w:rFonts w:hint="eastAsia" w:cs="宋体"/>
                <w:color w:val="000000"/>
                <w:kern w:val="0"/>
                <w:sz w:val="21"/>
                <w:szCs w:val="21"/>
                <w:lang w:eastAsia="zh-CN"/>
              </w:rPr>
              <w:t>、</w:t>
            </w:r>
            <w:r>
              <w:rPr>
                <w:rFonts w:hint="eastAsia" w:ascii="宋体" w:hAnsi="Times New Roman" w:cs="宋体"/>
                <w:color w:val="000000"/>
                <w:kern w:val="0"/>
                <w:sz w:val="21"/>
                <w:szCs w:val="21"/>
              </w:rPr>
              <w:t>《</w:t>
            </w:r>
            <w:r>
              <w:rPr>
                <w:rFonts w:hint="eastAsia" w:ascii="宋体" w:hAnsi="Times New Roman" w:cs="宋体"/>
                <w:color w:val="000000"/>
                <w:kern w:val="0"/>
                <w:sz w:val="21"/>
                <w:szCs w:val="21"/>
                <w:lang w:val="en-US" w:eastAsia="zh-CN"/>
              </w:rPr>
              <w:t>投资协议</w:t>
            </w:r>
            <w:r>
              <w:rPr>
                <w:rFonts w:hint="eastAsia" w:ascii="宋体" w:hAnsi="Times New Roman" w:cs="宋体"/>
                <w:color w:val="000000"/>
                <w:kern w:val="0"/>
                <w:sz w:val="21"/>
                <w:szCs w:val="21"/>
              </w:rPr>
              <w:t>》</w:t>
            </w:r>
            <w:r>
              <w:rPr>
                <w:rFonts w:hint="eastAsia" w:cs="宋体"/>
                <w:color w:val="000000"/>
                <w:kern w:val="0"/>
                <w:sz w:val="21"/>
                <w:szCs w:val="21"/>
                <w:lang w:eastAsia="zh-CN"/>
              </w:rPr>
              <w:t>、</w:t>
            </w:r>
            <w:r>
              <w:rPr>
                <w:rFonts w:hint="eastAsia" w:ascii="宋体" w:hAnsi="Times New Roman" w:cs="宋体"/>
                <w:color w:val="000000"/>
                <w:kern w:val="0"/>
                <w:sz w:val="21"/>
                <w:szCs w:val="21"/>
              </w:rPr>
              <w:t>《项目公司股东协议》及</w:t>
            </w:r>
            <w:r>
              <w:rPr>
                <w:rFonts w:hint="eastAsia" w:ascii="Times New Roman" w:cs="Times New Roman"/>
                <w:color w:val="auto"/>
                <w:sz w:val="21"/>
                <w:szCs w:val="21"/>
              </w:rPr>
              <w:t>进行最后的澄清与确认，并在此基础之上确定预中标人。</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color w:val="auto"/>
                <w:sz w:val="21"/>
                <w:szCs w:val="21"/>
              </w:rPr>
            </w:pPr>
            <w:r>
              <w:rPr>
                <w:rFonts w:hint="eastAsia" w:ascii="Times New Roman" w:cs="Times New Roman"/>
                <w:color w:val="auto"/>
                <w:sz w:val="21"/>
                <w:szCs w:val="21"/>
              </w:rPr>
              <w:t>中标人确定后，由采购人与中标人按本招标文件第二卷所列《</w:t>
            </w:r>
            <w:r>
              <w:rPr>
                <w:rFonts w:hint="eastAsia" w:ascii="Times New Roman" w:cs="Times New Roman"/>
                <w:color w:val="auto"/>
                <w:sz w:val="21"/>
                <w:szCs w:val="21"/>
                <w:lang w:val="en-US" w:eastAsia="zh-CN"/>
              </w:rPr>
              <w:t>项目合同</w:t>
            </w:r>
            <w:r>
              <w:rPr>
                <w:rFonts w:hint="eastAsia" w:ascii="Times New Roman" w:cs="Times New Roman"/>
                <w:color w:val="auto"/>
                <w:sz w:val="21"/>
                <w:szCs w:val="21"/>
              </w:rPr>
              <w:t>》文本（含采购人做出的澄清意见），由</w:t>
            </w:r>
            <w:r>
              <w:rPr>
                <w:rFonts w:hint="eastAsia" w:ascii="Times New Roman" w:cs="Times New Roman"/>
                <w:color w:val="auto"/>
                <w:sz w:val="21"/>
                <w:szCs w:val="21"/>
                <w:lang w:eastAsia="zh-CN"/>
              </w:rPr>
              <w:t>登封豫资建设发展有限公司</w:t>
            </w:r>
            <w:r>
              <w:rPr>
                <w:rFonts w:hint="eastAsia" w:ascii="Times New Roman" w:cs="Times New Roman"/>
                <w:color w:val="auto"/>
                <w:sz w:val="21"/>
                <w:szCs w:val="21"/>
              </w:rPr>
              <w:t>与中标人按本招标文件第</w:t>
            </w:r>
            <w:r>
              <w:rPr>
                <w:rFonts w:hint="eastAsia" w:ascii="Times New Roman" w:cs="Times New Roman"/>
                <w:color w:val="auto"/>
                <w:sz w:val="21"/>
                <w:szCs w:val="21"/>
                <w:lang w:val="en-US" w:eastAsia="zh-CN"/>
              </w:rPr>
              <w:t>二</w:t>
            </w:r>
            <w:r>
              <w:rPr>
                <w:rFonts w:hint="eastAsia" w:ascii="Times New Roman" w:cs="Times New Roman"/>
                <w:color w:val="auto"/>
                <w:sz w:val="21"/>
                <w:szCs w:val="21"/>
              </w:rPr>
              <w:t>卷所列文本（含采购方对该协议及章程文本做出的澄清意见）签署《</w:t>
            </w:r>
            <w:r>
              <w:rPr>
                <w:rFonts w:hint="eastAsia" w:ascii="Times New Roman" w:cs="Times New Roman"/>
                <w:color w:val="auto"/>
                <w:sz w:val="21"/>
                <w:szCs w:val="21"/>
                <w:lang w:val="en-US" w:eastAsia="zh-CN"/>
              </w:rPr>
              <w:t>项目</w:t>
            </w:r>
            <w:r>
              <w:rPr>
                <w:rFonts w:hint="eastAsia" w:ascii="Times New Roman" w:cs="Times New Roman"/>
                <w:color w:val="auto"/>
                <w:sz w:val="21"/>
                <w:szCs w:val="21"/>
              </w:rPr>
              <w:t>公司股东协议》、《项目公司章程》。</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color w:val="auto"/>
                <w:sz w:val="21"/>
                <w:szCs w:val="21"/>
              </w:rPr>
            </w:pPr>
            <w:r>
              <w:rPr>
                <w:rFonts w:hint="eastAsia" w:ascii="Times New Roman" w:cs="Times New Roman"/>
                <w:color w:val="auto"/>
                <w:sz w:val="21"/>
                <w:szCs w:val="21"/>
                <w:lang w:val="en-US" w:eastAsia="zh-CN"/>
              </w:rPr>
              <w:t>签署</w:t>
            </w:r>
            <w:r>
              <w:rPr>
                <w:rFonts w:hint="eastAsia" w:ascii="宋体" w:hAnsi="Times New Roman" w:cs="宋体"/>
                <w:color w:val="000000"/>
                <w:kern w:val="0"/>
                <w:sz w:val="21"/>
                <w:szCs w:val="21"/>
              </w:rPr>
              <w:t>《</w:t>
            </w:r>
            <w:r>
              <w:rPr>
                <w:rFonts w:hint="eastAsia" w:ascii="宋体" w:hAnsi="Times New Roman" w:cs="宋体"/>
                <w:color w:val="000000"/>
                <w:kern w:val="0"/>
                <w:sz w:val="21"/>
                <w:szCs w:val="21"/>
                <w:lang w:val="en-US" w:eastAsia="zh-CN"/>
              </w:rPr>
              <w:t>投资协议</w:t>
            </w:r>
            <w:r>
              <w:rPr>
                <w:rFonts w:hint="eastAsia" w:ascii="宋体" w:hAnsi="Times New Roman" w:cs="宋体"/>
                <w:color w:val="000000"/>
                <w:kern w:val="0"/>
                <w:sz w:val="21"/>
                <w:szCs w:val="21"/>
              </w:rPr>
              <w:t>》</w:t>
            </w:r>
            <w:r>
              <w:rPr>
                <w:rFonts w:hint="eastAsia" w:cs="宋体"/>
                <w:color w:val="000000"/>
                <w:kern w:val="0"/>
                <w:sz w:val="21"/>
                <w:szCs w:val="21"/>
                <w:lang w:eastAsia="zh-CN"/>
              </w:rPr>
              <w:t>、</w:t>
            </w:r>
            <w:r>
              <w:rPr>
                <w:rFonts w:hint="eastAsia" w:ascii="宋体" w:hAnsi="Times New Roman" w:cs="宋体"/>
                <w:color w:val="000000"/>
                <w:kern w:val="0"/>
                <w:sz w:val="21"/>
                <w:szCs w:val="21"/>
              </w:rPr>
              <w:t>《项目公司股东协议》</w:t>
            </w:r>
            <w:r>
              <w:rPr>
                <w:rFonts w:hint="eastAsia" w:ascii="宋体" w:hAnsi="Times New Roman" w:cs="宋体"/>
                <w:color w:val="000000"/>
                <w:kern w:val="0"/>
                <w:sz w:val="21"/>
                <w:szCs w:val="21"/>
                <w:lang w:eastAsia="zh-CN"/>
              </w:rPr>
              <w:t>、</w:t>
            </w:r>
            <w:r>
              <w:rPr>
                <w:rFonts w:hint="eastAsia" w:ascii="宋体" w:hAnsi="Times New Roman" w:cs="宋体"/>
                <w:color w:val="000000"/>
                <w:kern w:val="0"/>
                <w:sz w:val="21"/>
                <w:szCs w:val="21"/>
              </w:rPr>
              <w:t>及《项目公司章程》</w:t>
            </w:r>
            <w:r>
              <w:rPr>
                <w:rFonts w:hint="eastAsia" w:ascii="Times New Roman" w:cs="Times New Roman"/>
                <w:color w:val="auto"/>
                <w:sz w:val="21"/>
                <w:szCs w:val="21"/>
              </w:rPr>
              <w:t>后，中标人应联合</w:t>
            </w:r>
            <w:r>
              <w:rPr>
                <w:rFonts w:hint="eastAsia" w:ascii="Times New Roman" w:cs="Times New Roman"/>
                <w:color w:val="auto"/>
                <w:sz w:val="21"/>
                <w:szCs w:val="21"/>
                <w:lang w:eastAsia="zh-CN"/>
              </w:rPr>
              <w:t>登封豫资建设发展有限公司</w:t>
            </w:r>
            <w:r>
              <w:rPr>
                <w:rFonts w:hint="eastAsia" w:ascii="Times New Roman" w:cs="Times New Roman"/>
                <w:color w:val="auto"/>
                <w:sz w:val="21"/>
                <w:szCs w:val="21"/>
              </w:rPr>
              <w:t>负责编制设立项目公司所需的文件，办理审批和登记程序，并成立项目公司。</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color w:val="auto"/>
                <w:sz w:val="21"/>
                <w:szCs w:val="21"/>
              </w:rPr>
            </w:pPr>
            <w:r>
              <w:rPr>
                <w:rFonts w:hint="eastAsia" w:ascii="Times New Roman" w:cs="Times New Roman"/>
                <w:color w:val="auto"/>
                <w:sz w:val="21"/>
                <w:szCs w:val="21"/>
                <w:lang w:val="en-US" w:eastAsia="zh-CN"/>
              </w:rPr>
              <w:t>项目公司注册成立后，</w:t>
            </w:r>
            <w:r>
              <w:rPr>
                <w:rFonts w:hint="eastAsia" w:ascii="Times New Roman" w:cs="Times New Roman"/>
                <w:color w:val="auto"/>
                <w:sz w:val="21"/>
                <w:szCs w:val="21"/>
                <w:lang w:eastAsia="zh-CN"/>
              </w:rPr>
              <w:t>登封市交通运输局</w:t>
            </w:r>
            <w:r>
              <w:rPr>
                <w:rFonts w:hint="eastAsia" w:ascii="Times New Roman" w:cs="Times New Roman"/>
                <w:color w:val="auto"/>
                <w:sz w:val="21"/>
                <w:szCs w:val="21"/>
                <w:lang w:val="en-US" w:eastAsia="zh-CN"/>
              </w:rPr>
              <w:t>及时</w:t>
            </w:r>
            <w:r>
              <w:rPr>
                <w:rFonts w:hint="eastAsia" w:ascii="Times New Roman" w:cs="Times New Roman"/>
                <w:color w:val="auto"/>
                <w:sz w:val="21"/>
                <w:szCs w:val="21"/>
              </w:rPr>
              <w:t>与项目公司正式签署《</w:t>
            </w:r>
            <w:r>
              <w:rPr>
                <w:rFonts w:hint="eastAsia" w:ascii="Times New Roman" w:cs="Times New Roman"/>
                <w:color w:val="auto"/>
                <w:sz w:val="21"/>
                <w:szCs w:val="21"/>
                <w:lang w:val="en-US" w:eastAsia="zh-CN"/>
              </w:rPr>
              <w:t>登封市环嵩山旅游公路改建工程PPP项目合同</w:t>
            </w:r>
            <w:r>
              <w:rPr>
                <w:rFonts w:hint="eastAsia" w:ascii="Times New Roman" w:cs="Times New Roman"/>
                <w:color w:val="auto"/>
                <w:sz w:val="21"/>
                <w:szCs w:val="21"/>
              </w:rPr>
              <w:t>》及相关附件及配套协议。</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color w:val="auto"/>
                <w:sz w:val="21"/>
                <w:szCs w:val="21"/>
              </w:rPr>
            </w:pPr>
            <w:r>
              <w:rPr>
                <w:rFonts w:hint="eastAsia" w:ascii="Times New Roman" w:cs="Times New Roman"/>
                <w:color w:val="auto"/>
                <w:sz w:val="21"/>
                <w:szCs w:val="21"/>
              </w:rPr>
              <w:t>本招标文件中本部分和附件的内容旨在使参加投标的社会资本更好地了解本项目各阶段的工作。为使社会资本了解项目状况，项目采购人将在招标文件中尽量提供其所掌握的全部有效资料，以利于社会资本进行全面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155" w:type="dxa"/>
            <w:vMerge w:val="continue"/>
            <w:vAlign w:val="center"/>
          </w:tcPr>
          <w:p>
            <w:pPr>
              <w:keepNext w:val="0"/>
              <w:keepLines w:val="0"/>
              <w:pageBreakBefore w:val="0"/>
              <w:suppressLineNumbers w:val="0"/>
              <w:kinsoku/>
              <w:bidi w:val="0"/>
              <w:spacing w:before="0" w:beforeAutospacing="0" w:after="0" w:afterAutospacing="0" w:line="360" w:lineRule="auto"/>
              <w:ind w:left="0" w:right="0" w:firstLine="420"/>
              <w:jc w:val="center"/>
              <w:textAlignment w:val="auto"/>
              <w:rPr>
                <w:rFonts w:hint="default" w:ascii="Arial Unicode MS" w:hAnsi="Arial Unicode MS" w:eastAsia="Arial Unicode MS" w:cs="Arial Unicode MS"/>
                <w:color w:val="000000"/>
                <w:sz w:val="21"/>
                <w:szCs w:val="21"/>
              </w:rPr>
            </w:pPr>
          </w:p>
        </w:tc>
        <w:tc>
          <w:tcPr>
            <w:tcW w:w="2100" w:type="dxa"/>
            <w:shd w:val="clear" w:color="auto" w:fill="auto"/>
          </w:tcPr>
          <w:p>
            <w:pPr>
              <w:pStyle w:val="66"/>
              <w:keepNext w:val="0"/>
              <w:keepLines w:val="0"/>
              <w:pageBreakBefore w:val="0"/>
              <w:suppressLineNumbers w:val="0"/>
              <w:kinsoku/>
              <w:bidi w:val="0"/>
              <w:spacing w:before="0" w:beforeAutospacing="0" w:after="0" w:afterAutospacing="0" w:line="360" w:lineRule="auto"/>
              <w:ind w:left="0" w:right="0"/>
              <w:jc w:val="center"/>
              <w:textAlignment w:val="auto"/>
              <w:rPr>
                <w:rFonts w:hint="default" w:ascii="Times New Roman" w:cs="Times New Roman"/>
                <w:color w:val="auto"/>
                <w:sz w:val="21"/>
                <w:szCs w:val="21"/>
              </w:rPr>
            </w:pPr>
            <w:r>
              <w:rPr>
                <w:rFonts w:hint="eastAsia"/>
                <w:sz w:val="21"/>
                <w:szCs w:val="21"/>
              </w:rPr>
              <w:t>其他说明2</w:t>
            </w:r>
          </w:p>
        </w:tc>
        <w:tc>
          <w:tcPr>
            <w:tcW w:w="5775" w:type="dxa"/>
            <w:gridSpan w:val="2"/>
          </w:tcPr>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sz w:val="21"/>
                <w:szCs w:val="21"/>
              </w:rPr>
            </w:pPr>
            <w:r>
              <w:rPr>
                <w:rFonts w:hint="eastAsia"/>
                <w:sz w:val="21"/>
                <w:szCs w:val="21"/>
              </w:rPr>
              <w:t>若投标人为联合体，则联合体牵头人须出具联合体协议书和承诺函，具体格式详见第</w:t>
            </w:r>
            <w:r>
              <w:rPr>
                <w:rFonts w:hint="eastAsia"/>
                <w:sz w:val="21"/>
                <w:szCs w:val="21"/>
                <w:lang w:val="en-US" w:eastAsia="zh-CN"/>
              </w:rPr>
              <w:t>五</w:t>
            </w:r>
            <w:r>
              <w:rPr>
                <w:rFonts w:hint="eastAsia"/>
                <w:sz w:val="21"/>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6" w:hRule="atLeast"/>
        </w:trPr>
        <w:tc>
          <w:tcPr>
            <w:tcW w:w="1155" w:type="dxa"/>
            <w:vMerge w:val="continue"/>
            <w:vAlign w:val="center"/>
          </w:tcPr>
          <w:p>
            <w:pPr>
              <w:keepNext w:val="0"/>
              <w:keepLines w:val="0"/>
              <w:pageBreakBefore w:val="0"/>
              <w:suppressLineNumbers w:val="0"/>
              <w:kinsoku/>
              <w:bidi w:val="0"/>
              <w:spacing w:before="0" w:beforeAutospacing="0" w:after="0" w:afterAutospacing="0" w:line="360" w:lineRule="auto"/>
              <w:ind w:left="0" w:right="0" w:firstLine="420"/>
              <w:jc w:val="center"/>
              <w:textAlignment w:val="auto"/>
              <w:rPr>
                <w:rFonts w:hint="default" w:ascii="Arial Unicode MS" w:hAnsi="Arial Unicode MS" w:eastAsia="Arial Unicode MS" w:cs="Arial Unicode MS"/>
                <w:color w:val="000000"/>
                <w:sz w:val="21"/>
                <w:szCs w:val="21"/>
              </w:rPr>
            </w:pPr>
          </w:p>
        </w:tc>
        <w:tc>
          <w:tcPr>
            <w:tcW w:w="2100" w:type="dxa"/>
            <w:vAlign w:val="center"/>
          </w:tcPr>
          <w:p>
            <w:pPr>
              <w:pStyle w:val="66"/>
              <w:keepNext w:val="0"/>
              <w:keepLines w:val="0"/>
              <w:pageBreakBefore w:val="0"/>
              <w:suppressLineNumbers w:val="0"/>
              <w:kinsoku/>
              <w:bidi w:val="0"/>
              <w:spacing w:before="0" w:beforeAutospacing="0" w:after="0" w:afterAutospacing="0" w:line="360" w:lineRule="auto"/>
              <w:ind w:left="0" w:right="0"/>
              <w:jc w:val="center"/>
              <w:textAlignment w:val="auto"/>
              <w:rPr>
                <w:rFonts w:hint="default" w:ascii="Times New Roman" w:cs="Times New Roman"/>
                <w:color w:val="auto"/>
                <w:sz w:val="21"/>
                <w:szCs w:val="21"/>
              </w:rPr>
            </w:pPr>
            <w:r>
              <w:rPr>
                <w:rFonts w:hint="eastAsia" w:ascii="Times New Roman" w:cs="Times New Roman"/>
                <w:color w:val="auto"/>
                <w:sz w:val="21"/>
                <w:szCs w:val="21"/>
              </w:rPr>
              <w:t>其他说明3</w:t>
            </w:r>
          </w:p>
        </w:tc>
        <w:tc>
          <w:tcPr>
            <w:tcW w:w="5775" w:type="dxa"/>
            <w:gridSpan w:val="2"/>
            <w:vAlign w:val="center"/>
          </w:tcPr>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color w:val="auto"/>
                <w:sz w:val="21"/>
                <w:szCs w:val="21"/>
              </w:rPr>
            </w:pPr>
            <w:r>
              <w:rPr>
                <w:rFonts w:hint="eastAsia" w:ascii="Times New Roman" w:cs="Times New Roman"/>
                <w:color w:val="auto"/>
                <w:sz w:val="21"/>
                <w:szCs w:val="21"/>
              </w:rPr>
              <w:t>各投标人开标所提供的资料必须真实完整，如被发现有任何虚假、隐瞒情况者，采购人将取消其投标资格。</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color w:val="auto"/>
                <w:sz w:val="21"/>
                <w:szCs w:val="21"/>
              </w:rPr>
            </w:pPr>
            <w:r>
              <w:rPr>
                <w:rFonts w:hint="eastAsia" w:ascii="Times New Roman" w:cs="Times New Roman"/>
                <w:color w:val="auto"/>
                <w:sz w:val="21"/>
                <w:szCs w:val="21"/>
              </w:rPr>
              <w:t>投标文件须用中文书写，与投标文件有关的报告、文件或介绍材料以及投标人和采购人之间的往来通信和文件均须用中文写成，但投标人提供的任何文献资料印刷品，只要随附有关段落的中文译文，均可以是另外一种文字。在此情况下，为了说明投标文件起见，以中文译文为准</w:t>
            </w:r>
            <w:r>
              <w:rPr>
                <w:rFonts w:hint="default" w:ascii="Times New Roman" w:cs="Times New Roman"/>
                <w:color w:val="auto"/>
                <w:sz w:val="21"/>
                <w:szCs w:val="21"/>
              </w:rPr>
              <w:t>。</w:t>
            </w:r>
          </w:p>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default" w:ascii="Times New Roman" w:cs="Times New Roman"/>
                <w:color w:val="auto"/>
                <w:sz w:val="21"/>
                <w:szCs w:val="21"/>
              </w:rPr>
            </w:pPr>
            <w:r>
              <w:rPr>
                <w:rFonts w:hint="eastAsia" w:ascii="Times New Roman" w:cs="Times New Roman"/>
                <w:color w:val="auto"/>
                <w:sz w:val="21"/>
                <w:szCs w:val="21"/>
              </w:rPr>
              <w:t>本招标文件中本部分和附件的内容旨在使参加投标的社会资本更好地了解本项目各阶段的工作。为使社会资本了解项目状况，项目采购人将在招标文件中尽量提供其所掌握的全部有效资料，以利于社会资本进行全面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1155" w:type="dxa"/>
            <w:vAlign w:val="center"/>
          </w:tcPr>
          <w:p>
            <w:pPr>
              <w:keepNext w:val="0"/>
              <w:keepLines w:val="0"/>
              <w:pageBreakBefore w:val="0"/>
              <w:suppressLineNumbers w:val="0"/>
              <w:kinsoku/>
              <w:bidi w:val="0"/>
              <w:spacing w:before="0" w:beforeAutospacing="0" w:after="0" w:afterAutospacing="0" w:line="360" w:lineRule="auto"/>
              <w:ind w:left="0" w:leftChars="0" w:right="0" w:firstLine="0" w:firstLineChars="0"/>
              <w:jc w:val="center"/>
              <w:textAlignment w:val="auto"/>
              <w:rPr>
                <w:rFonts w:hint="eastAsia" w:ascii="Arial Unicode MS" w:hAnsi="Arial Unicode MS" w:eastAsia="Arial Unicode MS" w:cs="Arial Unicode MS"/>
                <w:color w:val="000000"/>
                <w:sz w:val="21"/>
                <w:szCs w:val="21"/>
                <w:lang w:val="en-US" w:eastAsia="zh-CN"/>
              </w:rPr>
            </w:pPr>
            <w:r>
              <w:rPr>
                <w:rFonts w:hint="eastAsia" w:ascii="Arial Unicode MS" w:hAnsi="Arial Unicode MS" w:eastAsia="Arial Unicode MS" w:cs="Arial Unicode MS"/>
                <w:color w:val="000000"/>
                <w:sz w:val="21"/>
                <w:szCs w:val="21"/>
                <w:lang w:val="en-US" w:eastAsia="zh-CN"/>
              </w:rPr>
              <w:t>12</w:t>
            </w:r>
          </w:p>
        </w:tc>
        <w:tc>
          <w:tcPr>
            <w:tcW w:w="2100" w:type="dxa"/>
            <w:vAlign w:val="center"/>
          </w:tcPr>
          <w:p>
            <w:pPr>
              <w:pStyle w:val="66"/>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招标代理费</w:t>
            </w:r>
          </w:p>
        </w:tc>
        <w:tc>
          <w:tcPr>
            <w:tcW w:w="5775" w:type="dxa"/>
            <w:gridSpan w:val="2"/>
            <w:vAlign w:val="center"/>
          </w:tcPr>
          <w:p>
            <w:pPr>
              <w:pStyle w:val="66"/>
              <w:keepNext w:val="0"/>
              <w:keepLines w:val="0"/>
              <w:pageBreakBefore w:val="0"/>
              <w:suppressLineNumbers w:val="0"/>
              <w:kinsoku/>
              <w:bidi w:val="0"/>
              <w:spacing w:before="0" w:beforeAutospacing="0" w:after="0" w:afterAutospacing="0" w:line="360" w:lineRule="auto"/>
              <w:ind w:left="0" w:right="0"/>
              <w:jc w:val="both"/>
              <w:textAlignment w:val="auto"/>
              <w:rPr>
                <w:rFonts w:hint="eastAsia"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按《招标代理服务收费管理暂行办法》（计价格[2002]1980号国家计委）和发改价格[2011]534号文件规定向中标、成交人收取招标代理费。</w:t>
            </w:r>
          </w:p>
        </w:tc>
      </w:tr>
    </w:tbl>
    <w:p>
      <w:pPr>
        <w:pStyle w:val="58"/>
        <w:pageBreakBefore w:val="0"/>
        <w:numPr>
          <w:ilvl w:val="1"/>
          <w:numId w:val="0"/>
        </w:numPr>
        <w:kinsoku/>
        <w:bidi w:val="0"/>
        <w:spacing w:line="360" w:lineRule="auto"/>
        <w:ind w:leftChars="0"/>
        <w:textAlignment w:val="auto"/>
      </w:pPr>
      <w:bookmarkStart w:id="7" w:name="_Toc437271232"/>
      <w:r>
        <w:rPr>
          <w:rFonts w:hint="eastAsia"/>
          <w:lang w:val="en-US" w:eastAsia="zh-CN"/>
        </w:rPr>
        <w:t>1.</w:t>
      </w:r>
      <w:r>
        <w:rPr>
          <w:rFonts w:hint="eastAsia"/>
        </w:rPr>
        <w:t>说明</w:t>
      </w:r>
      <w:bookmarkEnd w:id="7"/>
    </w:p>
    <w:p>
      <w:pPr>
        <w:pageBreakBefore w:val="0"/>
        <w:kinsoku/>
        <w:bidi w:val="0"/>
        <w:spacing w:line="360" w:lineRule="auto"/>
        <w:ind w:firstLine="480"/>
        <w:textAlignment w:val="auto"/>
        <w:rPr>
          <w:rFonts w:hint="eastAsia"/>
        </w:rPr>
      </w:pPr>
      <w:r>
        <w:rPr>
          <w:rFonts w:hint="eastAsia"/>
        </w:rPr>
        <w:t>本项目实施方案已</w:t>
      </w:r>
      <w:r>
        <w:rPr>
          <w:rFonts w:hint="eastAsia"/>
          <w:color w:val="auto"/>
        </w:rPr>
        <w:t>于</w:t>
      </w:r>
      <w:r>
        <w:rPr>
          <w:color w:val="auto"/>
        </w:rPr>
        <w:t>201</w:t>
      </w:r>
      <w:r>
        <w:rPr>
          <w:rFonts w:hint="eastAsia"/>
          <w:color w:val="auto"/>
          <w:lang w:val="en-US" w:eastAsia="zh-CN"/>
        </w:rPr>
        <w:t>8</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25</w:t>
      </w:r>
      <w:r>
        <w:rPr>
          <w:rFonts w:hint="eastAsia"/>
          <w:color w:val="auto"/>
        </w:rPr>
        <w:t>日获得</w:t>
      </w:r>
      <w:r>
        <w:rPr>
          <w:rFonts w:hint="eastAsia"/>
        </w:rPr>
        <w:t>市政府批复，并于</w:t>
      </w:r>
      <w:r>
        <w:t>201</w:t>
      </w:r>
      <w:r>
        <w:rPr>
          <w:rFonts w:hint="eastAsia"/>
          <w:lang w:val="en-US" w:eastAsia="zh-CN"/>
        </w:rPr>
        <w:t>8</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日完成资格预审，现依据实施方案，进行公开招标。</w:t>
      </w:r>
      <w:bookmarkStart w:id="8" w:name="_Toc437271233"/>
    </w:p>
    <w:p>
      <w:pPr>
        <w:pageBreakBefore w:val="0"/>
        <w:kinsoku/>
        <w:bidi w:val="0"/>
        <w:spacing w:line="360" w:lineRule="auto"/>
        <w:ind w:left="0" w:leftChars="0" w:firstLine="0" w:firstLineChars="0"/>
        <w:textAlignment w:val="auto"/>
        <w:rPr>
          <w:rFonts w:hint="eastAsia"/>
        </w:rPr>
      </w:pPr>
      <w:r>
        <w:rPr>
          <w:rFonts w:hint="eastAsia"/>
          <w:lang w:val="en-US" w:eastAsia="zh-CN"/>
        </w:rPr>
        <w:t>1.1</w:t>
      </w:r>
      <w:r>
        <w:rPr>
          <w:rFonts w:hint="eastAsia"/>
        </w:rPr>
        <w:t>定义</w:t>
      </w:r>
      <w:bookmarkEnd w:id="8"/>
    </w:p>
    <w:p>
      <w:pPr>
        <w:pageBreakBefore w:val="0"/>
        <w:kinsoku/>
        <w:bidi w:val="0"/>
        <w:spacing w:line="360" w:lineRule="auto"/>
        <w:ind w:firstLine="480"/>
        <w:textAlignment w:val="auto"/>
        <w:rPr>
          <w:rFonts w:hint="eastAsia"/>
        </w:rPr>
      </w:pPr>
      <w:r>
        <w:rPr>
          <w:rFonts w:hint="eastAsia"/>
          <w:lang w:val="en-US" w:eastAsia="zh-CN"/>
        </w:rPr>
        <w:t>1.1.1</w:t>
      </w:r>
      <w:r>
        <w:rPr>
          <w:rFonts w:hint="eastAsia"/>
        </w:rPr>
        <w:t>PPP项目采购是指政府为达成权利义务平衡、物有所值的PPP项目合同，遵循公开、公平、公平和诚实守信的原则，按照相关法规要求完成PPP项目识别和准备等前期工作后，依法选择社会资本合作者的过程。</w:t>
      </w:r>
    </w:p>
    <w:p>
      <w:pPr>
        <w:pageBreakBefore w:val="0"/>
        <w:kinsoku/>
        <w:bidi w:val="0"/>
        <w:spacing w:line="360" w:lineRule="auto"/>
        <w:ind w:firstLine="480"/>
        <w:textAlignment w:val="auto"/>
        <w:rPr>
          <w:rFonts w:hint="eastAsia"/>
        </w:rPr>
      </w:pPr>
      <w:r>
        <w:rPr>
          <w:rFonts w:hint="eastAsia"/>
          <w:lang w:val="en-US" w:eastAsia="zh-CN"/>
        </w:rPr>
        <w:t>1.1.2</w:t>
      </w:r>
      <w:r>
        <w:rPr>
          <w:rFonts w:hint="eastAsia"/>
        </w:rPr>
        <w:t>社会资本方是指已建立现代企业制度的境内外企业法人，但不包括本级政府所属融资平台公司及其他控股国有企业（符合《国务院办公厅转发财政部、国家发展改革委、中国人民银行关于在公共服务领域推广政府和社会资本合作模式的指导意见的通知》国办发[2015]42号文件规定的除外）。</w:t>
      </w:r>
    </w:p>
    <w:p>
      <w:pPr>
        <w:pageBreakBefore w:val="0"/>
        <w:kinsoku/>
        <w:bidi w:val="0"/>
        <w:spacing w:line="360" w:lineRule="auto"/>
        <w:ind w:firstLine="480"/>
        <w:textAlignment w:val="auto"/>
        <w:rPr>
          <w:rFonts w:hint="eastAsia"/>
        </w:rPr>
      </w:pPr>
      <w:r>
        <w:rPr>
          <w:rFonts w:hint="eastAsia"/>
          <w:lang w:val="en-US" w:eastAsia="zh-CN"/>
        </w:rPr>
        <w:t>1.1.3</w:t>
      </w:r>
      <w:r>
        <w:rPr>
          <w:rFonts w:hint="eastAsia"/>
        </w:rPr>
        <w:t>项目实施机构，政府或其指定的有关职能部门或事业单位可作为项目实施机构，负责项目准备、采购监管和移交等工作。</w:t>
      </w:r>
    </w:p>
    <w:p>
      <w:pPr>
        <w:pageBreakBefore w:val="0"/>
        <w:kinsoku/>
        <w:bidi w:val="0"/>
        <w:spacing w:line="360" w:lineRule="auto"/>
        <w:ind w:firstLine="480"/>
        <w:textAlignment w:val="auto"/>
        <w:rPr>
          <w:rFonts w:hint="eastAsia"/>
        </w:rPr>
      </w:pPr>
      <w:r>
        <w:rPr>
          <w:rFonts w:hint="eastAsia"/>
          <w:lang w:val="en-US" w:eastAsia="zh-CN"/>
        </w:rPr>
        <w:t>1.1.4</w:t>
      </w:r>
      <w:r>
        <w:rPr>
          <w:rFonts w:hint="eastAsia"/>
        </w:rPr>
        <w:t>全生命周期（Whole Life Cycle）是指项目从设计、融资、建造、运营、维护至终止移交的完整周期。</w:t>
      </w:r>
    </w:p>
    <w:p>
      <w:pPr>
        <w:pageBreakBefore w:val="0"/>
        <w:kinsoku/>
        <w:bidi w:val="0"/>
        <w:spacing w:line="360" w:lineRule="auto"/>
        <w:ind w:firstLine="480"/>
        <w:textAlignment w:val="auto"/>
        <w:rPr>
          <w:rFonts w:hint="eastAsia"/>
        </w:rPr>
      </w:pPr>
      <w:r>
        <w:rPr>
          <w:rFonts w:hint="eastAsia"/>
          <w:lang w:val="en-US" w:eastAsia="zh-CN"/>
        </w:rPr>
        <w:t>1.1.5</w:t>
      </w:r>
      <w:r>
        <w:rPr>
          <w:rFonts w:hint="eastAsia"/>
        </w:rPr>
        <w:t>产出说明（Output Specification），是指项目建成后项目资产所达到的经济、技术标准，以及公共产品和服务的交付范围、标准和业绩水平等。</w:t>
      </w:r>
    </w:p>
    <w:p>
      <w:pPr>
        <w:pageBreakBefore w:val="0"/>
        <w:kinsoku/>
        <w:bidi w:val="0"/>
        <w:spacing w:line="360" w:lineRule="auto"/>
        <w:ind w:firstLine="480"/>
        <w:textAlignment w:val="auto"/>
        <w:rPr>
          <w:rFonts w:hint="eastAsia"/>
        </w:rPr>
      </w:pPr>
      <w:r>
        <w:rPr>
          <w:rFonts w:hint="eastAsia"/>
          <w:lang w:val="en-US" w:eastAsia="zh-CN"/>
        </w:rPr>
        <w:t>1.1.6</w:t>
      </w:r>
      <w:r>
        <w:rPr>
          <w:rFonts w:hint="eastAsia"/>
        </w:rPr>
        <w:t>物有所值（Value For Money）是指一个组织（多指政府）运用其可利用资源所能获得的长期最大利益。</w:t>
      </w:r>
    </w:p>
    <w:p>
      <w:pPr>
        <w:pageBreakBefore w:val="0"/>
        <w:kinsoku/>
        <w:bidi w:val="0"/>
        <w:spacing w:line="360" w:lineRule="auto"/>
        <w:ind w:firstLine="480"/>
        <w:textAlignment w:val="auto"/>
        <w:rPr>
          <w:rFonts w:hint="eastAsia"/>
        </w:rPr>
      </w:pPr>
      <w:r>
        <w:rPr>
          <w:rFonts w:hint="eastAsia"/>
          <w:lang w:val="en-US" w:eastAsia="zh-CN"/>
        </w:rPr>
        <w:t>1.1.7</w:t>
      </w:r>
      <w:r>
        <w:rPr>
          <w:rFonts w:hint="eastAsia"/>
        </w:rPr>
        <w:t>公共部门比较值（Public Sector Comparator ,PSC），是指在全生命周期内，政府采用传统采购模式提供公共产品和服务的全部成本的现值，主要包括建设运营净成本、可转移风险承担成本、自留风险承担成本和竞争性中立调整成本等。</w:t>
      </w:r>
    </w:p>
    <w:p>
      <w:pPr>
        <w:pageBreakBefore w:val="0"/>
        <w:kinsoku/>
        <w:bidi w:val="0"/>
        <w:spacing w:line="360" w:lineRule="auto"/>
        <w:ind w:firstLine="480"/>
        <w:textAlignment w:val="auto"/>
        <w:rPr>
          <w:rFonts w:hint="eastAsia"/>
        </w:rPr>
      </w:pPr>
      <w:r>
        <w:rPr>
          <w:rFonts w:hint="eastAsia"/>
          <w:lang w:val="en-US" w:eastAsia="zh-CN"/>
        </w:rPr>
        <w:t>1.1.8</w:t>
      </w:r>
      <w:r>
        <w:rPr>
          <w:rFonts w:hint="eastAsia"/>
        </w:rPr>
        <w:t>使用者付费（User Charge），是指由最终消费用户直接付费购买公共产品和服务。</w:t>
      </w:r>
    </w:p>
    <w:p>
      <w:pPr>
        <w:pageBreakBefore w:val="0"/>
        <w:kinsoku/>
        <w:bidi w:val="0"/>
        <w:spacing w:line="360" w:lineRule="auto"/>
        <w:ind w:firstLine="480"/>
        <w:textAlignment w:val="auto"/>
        <w:rPr>
          <w:rFonts w:hint="eastAsia"/>
        </w:rPr>
      </w:pPr>
      <w:r>
        <w:rPr>
          <w:rFonts w:hint="eastAsia"/>
          <w:lang w:val="en-US" w:eastAsia="zh-CN"/>
        </w:rPr>
        <w:t>1.1.9</w:t>
      </w:r>
      <w:r>
        <w:rPr>
          <w:rFonts w:hint="eastAsia"/>
        </w:rPr>
        <w:t>可行性缺口补助（Viability Gap Funding），是指使用者付费不足以满足社会资本或项目公司成本回收和合理回报，而由政府以财政补贴、股本投入、优惠贷款和其他优惠政策的形成，给予社会资本或项目公司的经济补助。</w:t>
      </w:r>
    </w:p>
    <w:p>
      <w:pPr>
        <w:pageBreakBefore w:val="0"/>
        <w:kinsoku/>
        <w:bidi w:val="0"/>
        <w:spacing w:line="360" w:lineRule="auto"/>
        <w:ind w:firstLine="480"/>
        <w:textAlignment w:val="auto"/>
        <w:rPr>
          <w:rFonts w:hint="eastAsia"/>
        </w:rPr>
      </w:pPr>
      <w:r>
        <w:rPr>
          <w:rFonts w:hint="eastAsia"/>
          <w:lang w:val="en-US" w:eastAsia="zh-CN"/>
        </w:rPr>
        <w:t>1.1.10</w:t>
      </w:r>
      <w:r>
        <w:rPr>
          <w:rFonts w:hint="eastAsia"/>
        </w:rPr>
        <w:t>政府付费（Government Payment），是指政府直接购买公共产品和服务，主要包括可用性付费（Availability Payment）、使用量付费（Usage Payment）和绩效付费（Performance Payment）。政府付费的依据主要是设施可用性、产品和服务使用量和质量等要素。</w:t>
      </w:r>
    </w:p>
    <w:p>
      <w:pPr>
        <w:pageBreakBefore w:val="0"/>
        <w:kinsoku/>
        <w:bidi w:val="0"/>
        <w:spacing w:line="360" w:lineRule="auto"/>
        <w:ind w:firstLine="480"/>
        <w:textAlignment w:val="auto"/>
      </w:pPr>
      <w:r>
        <w:rPr>
          <w:rFonts w:hint="eastAsia"/>
          <w:lang w:val="en-US" w:eastAsia="zh-CN"/>
        </w:rPr>
        <w:t>1.1.11</w:t>
      </w:r>
      <w:r>
        <w:t>PPP</w:t>
      </w:r>
      <w:r>
        <w:rPr>
          <w:rFonts w:hint="eastAsia"/>
        </w:rPr>
        <w:t>运作方式主要包括委委托运营（</w:t>
      </w:r>
      <w:r>
        <w:t>Operation &amp; Maintenance, O&amp;M</w:t>
      </w:r>
      <w:r>
        <w:rPr>
          <w:rFonts w:hint="eastAsia"/>
        </w:rPr>
        <w:t>）、管理合同（</w:t>
      </w:r>
      <w:r>
        <w:t>Management Contract, MC</w:t>
      </w:r>
      <w:r>
        <w:rPr>
          <w:rFonts w:hint="eastAsia"/>
        </w:rPr>
        <w:t>）、建设</w:t>
      </w:r>
      <w:r>
        <w:t>-</w:t>
      </w:r>
      <w:r>
        <w:rPr>
          <w:rFonts w:hint="eastAsia"/>
        </w:rPr>
        <w:t>运营</w:t>
      </w:r>
      <w:r>
        <w:t>-</w:t>
      </w:r>
      <w:r>
        <w:rPr>
          <w:rFonts w:hint="eastAsia"/>
        </w:rPr>
        <w:t>移交（</w:t>
      </w:r>
      <w:r>
        <w:t>Build-Operate-Transfer, BOT</w:t>
      </w:r>
      <w:r>
        <w:rPr>
          <w:rFonts w:hint="eastAsia"/>
        </w:rPr>
        <w:t>）、建设</w:t>
      </w:r>
      <w:r>
        <w:t>-</w:t>
      </w:r>
      <w:r>
        <w:rPr>
          <w:rFonts w:hint="eastAsia"/>
        </w:rPr>
        <w:t>拥有</w:t>
      </w:r>
      <w:r>
        <w:t>-</w:t>
      </w:r>
      <w:r>
        <w:rPr>
          <w:rFonts w:hint="eastAsia"/>
        </w:rPr>
        <w:t>运营（</w:t>
      </w:r>
      <w:r>
        <w:t>Build-Own-Operate, BOO</w:t>
      </w:r>
      <w:r>
        <w:rPr>
          <w:rFonts w:hint="eastAsia"/>
        </w:rPr>
        <w:t>）、转让</w:t>
      </w:r>
      <w:r>
        <w:t>-</w:t>
      </w:r>
      <w:r>
        <w:rPr>
          <w:rFonts w:hint="eastAsia"/>
        </w:rPr>
        <w:t>运营</w:t>
      </w:r>
      <w:r>
        <w:t>-</w:t>
      </w:r>
      <w:r>
        <w:rPr>
          <w:rFonts w:hint="eastAsia"/>
        </w:rPr>
        <w:t>移交（</w:t>
      </w:r>
      <w:r>
        <w:t>Transer-Operate-Transfer, TOT</w:t>
      </w:r>
      <w:r>
        <w:rPr>
          <w:rFonts w:hint="eastAsia"/>
        </w:rPr>
        <w:t>）、改建</w:t>
      </w:r>
      <w:r>
        <w:t>-</w:t>
      </w:r>
      <w:r>
        <w:rPr>
          <w:rFonts w:hint="eastAsia"/>
        </w:rPr>
        <w:t>运营</w:t>
      </w:r>
      <w:r>
        <w:t>-</w:t>
      </w:r>
      <w:r>
        <w:rPr>
          <w:rFonts w:hint="eastAsia"/>
        </w:rPr>
        <w:t>移交</w:t>
      </w:r>
      <w:r>
        <w:t>(Rehabilitate-Operate-Transfer, ROT)</w:t>
      </w:r>
      <w:r>
        <w:rPr>
          <w:rFonts w:hint="eastAsia"/>
        </w:rPr>
        <w:t>等。</w:t>
      </w:r>
      <w:r>
        <w:t> </w:t>
      </w:r>
    </w:p>
    <w:p>
      <w:pPr>
        <w:pStyle w:val="59"/>
        <w:keepNext w:val="0"/>
        <w:pageBreakBefore w:val="0"/>
        <w:numPr>
          <w:ilvl w:val="2"/>
          <w:numId w:val="0"/>
        </w:numPr>
        <w:kinsoku/>
        <w:bidi w:val="0"/>
        <w:spacing w:line="360" w:lineRule="auto"/>
        <w:ind w:leftChars="0"/>
        <w:textAlignment w:val="auto"/>
        <w:rPr>
          <w:rFonts w:hint="eastAsia"/>
        </w:rPr>
      </w:pPr>
      <w:bookmarkStart w:id="9" w:name="_Toc437271234"/>
      <w:bookmarkStart w:id="10" w:name="_Ref435802015"/>
      <w:r>
        <w:rPr>
          <w:rFonts w:hint="eastAsia"/>
          <w:lang w:val="en-US" w:eastAsia="zh-CN"/>
        </w:rPr>
        <w:t>1.2</w:t>
      </w:r>
      <w:r>
        <w:rPr>
          <w:rFonts w:hint="eastAsia"/>
        </w:rPr>
        <w:t>项目采购须具备条件</w:t>
      </w:r>
      <w:bookmarkEnd w:id="9"/>
      <w:bookmarkEnd w:id="10"/>
    </w:p>
    <w:p>
      <w:pPr>
        <w:pStyle w:val="59"/>
        <w:keepNext w:val="0"/>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1.2.1</w:t>
      </w:r>
      <w:r>
        <w:rPr>
          <w:rFonts w:hint="eastAsia"/>
        </w:rPr>
        <w:t>物有所值评价报告及财政部门意见。</w:t>
      </w:r>
    </w:p>
    <w:p>
      <w:pPr>
        <w:pStyle w:val="59"/>
        <w:keepNext w:val="0"/>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1.2.2</w:t>
      </w:r>
      <w:r>
        <w:rPr>
          <w:rFonts w:hint="eastAsia"/>
        </w:rPr>
        <w:t>财政承受能力论证报告及财政部门意见。</w:t>
      </w:r>
    </w:p>
    <w:p>
      <w:pPr>
        <w:pStyle w:val="59"/>
        <w:keepNext w:val="0"/>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1.2.3</w:t>
      </w:r>
      <w:r>
        <w:rPr>
          <w:rFonts w:hint="eastAsia"/>
        </w:rPr>
        <w:t>项目正式实施方案及政府审核意见。</w:t>
      </w:r>
    </w:p>
    <w:p>
      <w:pPr>
        <w:pStyle w:val="59"/>
        <w:keepNext w:val="0"/>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1.2.4</w:t>
      </w:r>
      <w:r>
        <w:rPr>
          <w:rFonts w:hint="eastAsia"/>
        </w:rPr>
        <w:t>存量公共资产的历史资料、产出说明</w:t>
      </w:r>
    </w:p>
    <w:p>
      <w:pPr>
        <w:pStyle w:val="59"/>
        <w:keepNext w:val="0"/>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1.2.5</w:t>
      </w:r>
      <w:r>
        <w:rPr>
          <w:rFonts w:hint="eastAsia"/>
        </w:rPr>
        <w:t>其它相关审批文件。</w:t>
      </w:r>
      <w:bookmarkStart w:id="11" w:name="_Toc437271235"/>
    </w:p>
    <w:p>
      <w:pPr>
        <w:pStyle w:val="59"/>
        <w:keepNext w:val="0"/>
        <w:pageBreakBefore w:val="0"/>
        <w:numPr>
          <w:ilvl w:val="2"/>
          <w:numId w:val="0"/>
        </w:numPr>
        <w:kinsoku/>
        <w:bidi w:val="0"/>
        <w:spacing w:line="360" w:lineRule="auto"/>
        <w:ind w:leftChars="0"/>
        <w:textAlignment w:val="auto"/>
        <w:rPr>
          <w:rFonts w:hint="eastAsia"/>
        </w:rPr>
      </w:pPr>
      <w:r>
        <w:rPr>
          <w:rFonts w:hint="eastAsia"/>
          <w:lang w:val="en-US" w:eastAsia="zh-CN"/>
        </w:rPr>
        <w:t>1.3</w:t>
      </w:r>
      <w:r>
        <w:rPr>
          <w:rFonts w:hint="eastAsia"/>
        </w:rPr>
        <w:t>采购当事人</w:t>
      </w:r>
      <w:bookmarkEnd w:id="11"/>
    </w:p>
    <w:p>
      <w:pPr>
        <w:pStyle w:val="59"/>
        <w:keepNext w:val="0"/>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1.3.1</w:t>
      </w:r>
      <w:r>
        <w:rPr>
          <w:rFonts w:hint="eastAsia"/>
        </w:rPr>
        <w:t>采购人是指政府、政府职能部门或者政府指定的PPP项目实施机构。本项目采购人见投标人须知前附表。</w:t>
      </w:r>
    </w:p>
    <w:p>
      <w:pPr>
        <w:pStyle w:val="59"/>
        <w:keepNext w:val="0"/>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1.3.2</w:t>
      </w:r>
      <w:r>
        <w:rPr>
          <w:rFonts w:hint="eastAsia"/>
        </w:rPr>
        <w:t>投标人是指响应招标并按要求参加投标竞争的社会资本方。</w:t>
      </w:r>
    </w:p>
    <w:p>
      <w:pPr>
        <w:pStyle w:val="59"/>
        <w:keepNext w:val="0"/>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1.3.3</w:t>
      </w:r>
      <w:r>
        <w:rPr>
          <w:rFonts w:hint="eastAsia"/>
        </w:rPr>
        <w:t>采购代理机构是受PPP项目实施机构委托办理PPP项目采购事宜的集中采购机构及社会中介机构。本项目采购代理机构见投标人须知前附表。</w:t>
      </w:r>
      <w:bookmarkStart w:id="12" w:name="_Toc437271236"/>
    </w:p>
    <w:p>
      <w:pPr>
        <w:pStyle w:val="59"/>
        <w:keepNext w:val="0"/>
        <w:pageBreakBefore w:val="0"/>
        <w:numPr>
          <w:ilvl w:val="2"/>
          <w:numId w:val="0"/>
        </w:numPr>
        <w:kinsoku/>
        <w:bidi w:val="0"/>
        <w:spacing w:line="360" w:lineRule="auto"/>
        <w:ind w:leftChars="0"/>
        <w:textAlignment w:val="auto"/>
        <w:rPr>
          <w:rFonts w:hint="eastAsia"/>
        </w:rPr>
      </w:pPr>
      <w:r>
        <w:rPr>
          <w:rFonts w:hint="eastAsia"/>
          <w:lang w:val="en-US" w:eastAsia="zh-CN"/>
        </w:rPr>
        <w:t>1.4</w:t>
      </w:r>
      <w:r>
        <w:rPr>
          <w:rFonts w:hint="eastAsia"/>
        </w:rPr>
        <w:t>合格的投标人</w:t>
      </w:r>
      <w:bookmarkEnd w:id="12"/>
      <w:bookmarkStart w:id="13" w:name="_Ref435798754"/>
    </w:p>
    <w:p>
      <w:pPr>
        <w:pStyle w:val="59"/>
        <w:keepNext w:val="0"/>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1.4.1</w:t>
      </w:r>
      <w:r>
        <w:rPr>
          <w:rFonts w:hint="eastAsia"/>
        </w:rPr>
        <w:t>合格的投标人应满足条件详见供应商须知前附表；</w:t>
      </w:r>
      <w:bookmarkEnd w:id="13"/>
      <w:bookmarkStart w:id="14" w:name="_Ref435798775"/>
    </w:p>
    <w:p>
      <w:pPr>
        <w:pStyle w:val="59"/>
        <w:keepNext w:val="0"/>
        <w:pageBreakBefore w:val="0"/>
        <w:numPr>
          <w:ilvl w:val="2"/>
          <w:numId w:val="0"/>
        </w:numPr>
        <w:kinsoku/>
        <w:bidi w:val="0"/>
        <w:spacing w:line="360" w:lineRule="auto"/>
        <w:ind w:leftChars="0"/>
        <w:textAlignment w:val="auto"/>
      </w:pPr>
      <w:r>
        <w:rPr>
          <w:rFonts w:hint="eastAsia"/>
          <w:lang w:val="en-US" w:eastAsia="zh-CN"/>
        </w:rPr>
        <w:tab/>
      </w:r>
      <w:r>
        <w:rPr>
          <w:rFonts w:hint="eastAsia"/>
          <w:lang w:val="en-US" w:eastAsia="zh-CN"/>
        </w:rPr>
        <w:t>1.4.2</w:t>
      </w:r>
      <w:r>
        <w:rPr>
          <w:rFonts w:hint="eastAsia"/>
        </w:rPr>
        <w:t>除投标人须知前附表要求的以外，投标人还应满足下列要求：</w:t>
      </w:r>
      <w:bookmarkEnd w:id="14"/>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1</w:t>
      </w:r>
      <w:r>
        <w:rPr>
          <w:rFonts w:hint="eastAsia"/>
          <w:lang w:eastAsia="zh-CN"/>
        </w:rPr>
        <w:t>）</w:t>
      </w:r>
      <w:r>
        <w:rPr>
          <w:rFonts w:hint="eastAsia"/>
        </w:rPr>
        <w:t>具有独立承担民事责任的能力；</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2</w:t>
      </w:r>
      <w:r>
        <w:rPr>
          <w:rFonts w:hint="eastAsia"/>
          <w:lang w:eastAsia="zh-CN"/>
        </w:rPr>
        <w:t>）</w:t>
      </w:r>
      <w:r>
        <w:rPr>
          <w:rFonts w:hint="eastAsia"/>
        </w:rPr>
        <w:t>具有良好的商业信誉和健全的财务会计制度；</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3</w:t>
      </w:r>
      <w:r>
        <w:rPr>
          <w:rFonts w:hint="eastAsia"/>
          <w:lang w:eastAsia="zh-CN"/>
        </w:rPr>
        <w:t>）</w:t>
      </w:r>
      <w:r>
        <w:rPr>
          <w:rFonts w:hint="eastAsia"/>
        </w:rPr>
        <w:t>具有履行合同所必须的设备和专业技术能力；</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4</w:t>
      </w:r>
      <w:r>
        <w:rPr>
          <w:rFonts w:hint="eastAsia"/>
          <w:lang w:eastAsia="zh-CN"/>
        </w:rPr>
        <w:t>）</w:t>
      </w:r>
      <w:r>
        <w:rPr>
          <w:rFonts w:hint="eastAsia"/>
        </w:rPr>
        <w:t>有依法缴纳税收和社会保障资金的良好记录；</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5</w:t>
      </w:r>
      <w:r>
        <w:rPr>
          <w:rFonts w:hint="eastAsia"/>
          <w:lang w:eastAsia="zh-CN"/>
        </w:rPr>
        <w:t>）</w:t>
      </w:r>
      <w:r>
        <w:rPr>
          <w:rFonts w:hint="eastAsia"/>
        </w:rPr>
        <w:t>参加政府采购活动前三年内，在经营活动中没有重大违法记录；</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6</w:t>
      </w:r>
      <w:r>
        <w:rPr>
          <w:rFonts w:hint="eastAsia"/>
          <w:lang w:eastAsia="zh-CN"/>
        </w:rPr>
        <w:t>）</w:t>
      </w:r>
      <w:r>
        <w:rPr>
          <w:rFonts w:hint="eastAsia"/>
        </w:rPr>
        <w:t>单位负责人为同一人或者存在控股、管理关系的不同单位，不得参加同一项目的投标。</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7</w:t>
      </w:r>
      <w:r>
        <w:rPr>
          <w:rFonts w:hint="eastAsia"/>
          <w:lang w:eastAsia="zh-CN"/>
        </w:rPr>
        <w:t>）</w:t>
      </w:r>
      <w:r>
        <w:rPr>
          <w:rFonts w:hint="eastAsia"/>
        </w:rPr>
        <w:t>法律、行政法规规定的其它条件。</w:t>
      </w:r>
    </w:p>
    <w:p>
      <w:pPr>
        <w:pStyle w:val="63"/>
        <w:keepNext w:val="0"/>
        <w:pageBreakBefore w:val="0"/>
        <w:numPr>
          <w:ilvl w:val="5"/>
          <w:numId w:val="0"/>
        </w:numPr>
        <w:kinsoku/>
        <w:bidi w:val="0"/>
        <w:spacing w:line="360" w:lineRule="auto"/>
        <w:ind w:left="567" w:leftChars="0"/>
        <w:textAlignment w:val="auto"/>
      </w:pPr>
      <w:r>
        <w:rPr>
          <w:rFonts w:hint="eastAsia"/>
          <w:lang w:val="en-US" w:eastAsia="zh-CN"/>
        </w:rPr>
        <w:t>1.4.3</w:t>
      </w:r>
      <w:r>
        <w:rPr>
          <w:rFonts w:hint="eastAsia"/>
        </w:rPr>
        <w:t>投标人不得存在下列情形之一：</w:t>
      </w:r>
    </w:p>
    <w:p>
      <w:pPr>
        <w:pStyle w:val="63"/>
        <w:keepNext w:val="0"/>
        <w:pageBreakBefore w:val="0"/>
        <w:numPr>
          <w:ilvl w:val="5"/>
          <w:numId w:val="0"/>
        </w:numPr>
        <w:kinsoku/>
        <w:bidi w:val="0"/>
        <w:spacing w:line="360" w:lineRule="auto"/>
        <w:ind w:left="567" w:leftChars="0"/>
        <w:textAlignment w:val="auto"/>
      </w:pPr>
      <w:r>
        <w:rPr>
          <w:rFonts w:hint="eastAsia"/>
          <w:lang w:val="en-US" w:eastAsia="zh-CN"/>
        </w:rPr>
        <w:tab/>
      </w:r>
      <w:r>
        <w:rPr>
          <w:rFonts w:hint="eastAsia"/>
        </w:rPr>
        <w:t>为本级政府所属融资平台公司及其他控股国有企业（符合《国务院办公厅转发财政部、国家发展改革委、中国人民银行关于在公共服务领域推广政府和社会资本合作模式指导意见的通知》国办发[2015]42号文件规定的除外）；</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1</w:t>
      </w:r>
      <w:r>
        <w:rPr>
          <w:rFonts w:hint="eastAsia"/>
          <w:lang w:eastAsia="zh-CN"/>
        </w:rPr>
        <w:t>）</w:t>
      </w:r>
      <w:r>
        <w:rPr>
          <w:rFonts w:hint="eastAsia"/>
        </w:rPr>
        <w:t>为本项目提供咨询服务的；</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2</w:t>
      </w:r>
      <w:r>
        <w:rPr>
          <w:rFonts w:hint="eastAsia"/>
          <w:lang w:eastAsia="zh-CN"/>
        </w:rPr>
        <w:t>）</w:t>
      </w:r>
      <w:r>
        <w:rPr>
          <w:rFonts w:hint="eastAsia"/>
        </w:rPr>
        <w:t>为本项目提供采购代理服务的；</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3</w:t>
      </w:r>
      <w:r>
        <w:rPr>
          <w:rFonts w:hint="eastAsia"/>
          <w:lang w:eastAsia="zh-CN"/>
        </w:rPr>
        <w:t>）</w:t>
      </w:r>
      <w:r>
        <w:rPr>
          <w:rFonts w:hint="eastAsia"/>
        </w:rPr>
        <w:t>被责令停业的；</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4</w:t>
      </w:r>
      <w:r>
        <w:rPr>
          <w:rFonts w:hint="eastAsia"/>
          <w:lang w:eastAsia="zh-CN"/>
        </w:rPr>
        <w:t>）</w:t>
      </w:r>
      <w:r>
        <w:rPr>
          <w:rFonts w:hint="eastAsia"/>
        </w:rPr>
        <w:t>被暂停或取消投标资格的；</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5</w:t>
      </w:r>
      <w:r>
        <w:rPr>
          <w:rFonts w:hint="eastAsia"/>
          <w:lang w:eastAsia="zh-CN"/>
        </w:rPr>
        <w:t>）</w:t>
      </w:r>
      <w:r>
        <w:rPr>
          <w:rFonts w:hint="eastAsia"/>
        </w:rPr>
        <w:t>财产被接管或冻结的；</w:t>
      </w:r>
    </w:p>
    <w:p>
      <w:pPr>
        <w:pStyle w:val="63"/>
        <w:keepNext w:val="0"/>
        <w:pageBreakBefore w:val="0"/>
        <w:numPr>
          <w:ilvl w:val="5"/>
          <w:numId w:val="0"/>
        </w:numPr>
        <w:kinsoku/>
        <w:bidi w:val="0"/>
        <w:spacing w:line="360" w:lineRule="auto"/>
        <w:ind w:left="567" w:leftChars="0"/>
        <w:textAlignment w:val="auto"/>
        <w:rPr>
          <w:rFonts w:hint="eastAsia"/>
          <w:lang w:eastAsia="zh-CN"/>
        </w:rPr>
      </w:pPr>
      <w:r>
        <w:rPr>
          <w:rFonts w:hint="eastAsia"/>
          <w:lang w:eastAsia="zh-CN"/>
        </w:rPr>
        <w:t>（</w:t>
      </w:r>
      <w:r>
        <w:rPr>
          <w:rFonts w:hint="eastAsia"/>
          <w:lang w:val="en-US" w:eastAsia="zh-CN"/>
        </w:rPr>
        <w:t>6</w:t>
      </w:r>
      <w:r>
        <w:rPr>
          <w:rFonts w:hint="eastAsia"/>
          <w:lang w:eastAsia="zh-CN"/>
        </w:rPr>
        <w:t>）</w:t>
      </w:r>
      <w:r>
        <w:rPr>
          <w:rFonts w:hint="eastAsia"/>
        </w:rPr>
        <w:t>其他有关法律、行政法规及部门规章禁止的</w:t>
      </w:r>
      <w:r>
        <w:rPr>
          <w:rFonts w:hint="eastAsia"/>
          <w:lang w:eastAsia="zh-CN"/>
        </w:rPr>
        <w:t>。</w:t>
      </w:r>
    </w:p>
    <w:p>
      <w:pPr>
        <w:pStyle w:val="63"/>
        <w:keepNext w:val="0"/>
        <w:pageBreakBefore w:val="0"/>
        <w:numPr>
          <w:ilvl w:val="5"/>
          <w:numId w:val="0"/>
        </w:numPr>
        <w:kinsoku/>
        <w:bidi w:val="0"/>
        <w:spacing w:line="360" w:lineRule="auto"/>
        <w:ind w:left="567" w:leftChars="0"/>
        <w:textAlignment w:val="auto"/>
      </w:pPr>
      <w:r>
        <w:rPr>
          <w:rFonts w:hint="eastAsia"/>
          <w:lang w:val="en-US" w:eastAsia="zh-CN"/>
        </w:rPr>
        <w:t>1.4.4</w:t>
      </w:r>
      <w:r>
        <w:rPr>
          <w:rFonts w:hint="eastAsia"/>
        </w:rPr>
        <w:t>联合体投标人投标人须知前附表规定接受联合体投标的，除应符合本章</w:t>
      </w:r>
      <w:r>
        <w:fldChar w:fldCharType="begin"/>
      </w:r>
      <w:r>
        <w:instrText xml:space="preserve"> </w:instrText>
      </w:r>
      <w:r>
        <w:rPr>
          <w:rFonts w:hint="eastAsia"/>
        </w:rPr>
        <w:instrText xml:space="preserve">REF _Ref435798754 \r \h</w:instrText>
      </w:r>
      <w:r>
        <w:instrText xml:space="preserve"> </w:instrText>
      </w:r>
      <w:r>
        <w:fldChar w:fldCharType="separate"/>
      </w:r>
      <w:r>
        <w:t>1.4.1</w:t>
      </w:r>
      <w:r>
        <w:fldChar w:fldCharType="end"/>
      </w:r>
      <w:r>
        <w:rPr>
          <w:rFonts w:hint="eastAsia"/>
        </w:rPr>
        <w:t>项和</w:t>
      </w:r>
      <w:r>
        <w:fldChar w:fldCharType="begin"/>
      </w:r>
      <w:r>
        <w:instrText xml:space="preserve"> </w:instrText>
      </w:r>
      <w:r>
        <w:rPr>
          <w:rFonts w:hint="eastAsia"/>
        </w:rPr>
        <w:instrText xml:space="preserve">REF _Ref435798775 \r \h</w:instrText>
      </w:r>
      <w:r>
        <w:instrText xml:space="preserve"> </w:instrText>
      </w:r>
      <w:r>
        <w:fldChar w:fldCharType="separate"/>
      </w:r>
      <w:r>
        <w:t>1.4.2</w:t>
      </w:r>
      <w:r>
        <w:fldChar w:fldCharType="end"/>
      </w:r>
      <w:r>
        <w:rPr>
          <w:rFonts w:hint="eastAsia"/>
        </w:rPr>
        <w:t>项的要求外，还应遵守以下规定：</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1</w:t>
      </w:r>
      <w:r>
        <w:rPr>
          <w:rFonts w:hint="eastAsia"/>
          <w:lang w:eastAsia="zh-CN"/>
        </w:rPr>
        <w:t>）</w:t>
      </w:r>
      <w:r>
        <w:rPr>
          <w:rFonts w:hint="eastAsia"/>
        </w:rPr>
        <w:t>以联合体参加投标的，应提交联合体协议并注明牵头人及各方拟承担的工作和责任，并承诺一旦成交联合体各方将向采购人承担连带责任。联合体各方应当共同与采购人签订采购合同，就采购合同的约定的事项对采购人承担连带责任。</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2</w:t>
      </w:r>
      <w:r>
        <w:rPr>
          <w:rFonts w:hint="eastAsia"/>
          <w:lang w:eastAsia="zh-CN"/>
        </w:rPr>
        <w:t>）</w:t>
      </w:r>
      <w:r>
        <w:rPr>
          <w:rFonts w:hint="eastAsia"/>
        </w:rPr>
        <w:t>联合体中有同类资质的投标人按照联合体分工承担相同的工作的，应当按照资质等级较低的投标人确定资质等级。</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3</w:t>
      </w:r>
      <w:r>
        <w:rPr>
          <w:rFonts w:hint="eastAsia"/>
          <w:lang w:eastAsia="zh-CN"/>
        </w:rPr>
        <w:t>）</w:t>
      </w:r>
      <w:r>
        <w:rPr>
          <w:rFonts w:hint="eastAsia"/>
        </w:rPr>
        <w:t>以联合体形式参加政府采购活动的，联合体各方不得再单独参加或者与其他投标人另外组成联合体参加同一合同项下的政府采购活动。</w:t>
      </w:r>
    </w:p>
    <w:p>
      <w:pPr>
        <w:pStyle w:val="63"/>
        <w:keepNext w:val="0"/>
        <w:pageBreakBefore w:val="0"/>
        <w:numPr>
          <w:ilvl w:val="5"/>
          <w:numId w:val="0"/>
        </w:numPr>
        <w:kinsoku/>
        <w:bidi w:val="0"/>
        <w:spacing w:line="360" w:lineRule="auto"/>
        <w:ind w:left="567" w:leftChars="0"/>
        <w:textAlignment w:val="auto"/>
      </w:pPr>
      <w:r>
        <w:rPr>
          <w:rFonts w:hint="eastAsia"/>
          <w:lang w:eastAsia="zh-CN"/>
        </w:rPr>
        <w:t>（</w:t>
      </w:r>
      <w:r>
        <w:rPr>
          <w:rFonts w:hint="eastAsia"/>
          <w:lang w:val="en-US" w:eastAsia="zh-CN"/>
        </w:rPr>
        <w:t>4</w:t>
      </w:r>
      <w:r>
        <w:rPr>
          <w:rFonts w:hint="eastAsia"/>
          <w:lang w:eastAsia="zh-CN"/>
        </w:rPr>
        <w:t>）</w:t>
      </w:r>
      <w:r>
        <w:rPr>
          <w:rFonts w:hint="eastAsia"/>
        </w:rPr>
        <w:t>联合体牵头人必须是主投资方，牵头人法定代表人或其授权的委托代理人负责签署本次投标的相关资料，其他联合体各方必须出具承诺函对此予以认可。联合体成员原则上则不得超过投标人须知前附表规定的家数，应体现融资、建设、运营优势；</w:t>
      </w:r>
    </w:p>
    <w:p>
      <w:pPr>
        <w:pStyle w:val="63"/>
        <w:keepNext w:val="0"/>
        <w:pageBreakBefore w:val="0"/>
        <w:numPr>
          <w:ilvl w:val="5"/>
          <w:numId w:val="0"/>
        </w:numPr>
        <w:kinsoku/>
        <w:bidi w:val="0"/>
        <w:spacing w:line="360" w:lineRule="auto"/>
        <w:ind w:left="567" w:leftChars="0"/>
        <w:textAlignment w:val="auto"/>
        <w:rPr>
          <w:rFonts w:hint="eastAsia"/>
        </w:rPr>
      </w:pPr>
      <w:r>
        <w:rPr>
          <w:rFonts w:hint="eastAsia"/>
          <w:lang w:eastAsia="zh-CN"/>
        </w:rPr>
        <w:t>（</w:t>
      </w:r>
      <w:r>
        <w:rPr>
          <w:rFonts w:hint="eastAsia"/>
          <w:lang w:val="en-US" w:eastAsia="zh-CN"/>
        </w:rPr>
        <w:t>5</w:t>
      </w:r>
      <w:r>
        <w:rPr>
          <w:rFonts w:hint="eastAsia"/>
          <w:lang w:eastAsia="zh-CN"/>
        </w:rPr>
        <w:t>）</w:t>
      </w:r>
      <w:r>
        <w:rPr>
          <w:rFonts w:hint="eastAsia"/>
        </w:rPr>
        <w:t>通过资格预审的联合体，不得再变更其组织形式及成员构成。</w:t>
      </w:r>
    </w:p>
    <w:p>
      <w:pPr>
        <w:pStyle w:val="63"/>
        <w:keepNext w:val="0"/>
        <w:pageBreakBefore w:val="0"/>
        <w:numPr>
          <w:ilvl w:val="5"/>
          <w:numId w:val="0"/>
        </w:numPr>
        <w:kinsoku/>
        <w:bidi w:val="0"/>
        <w:spacing w:line="360" w:lineRule="auto"/>
        <w:ind w:left="567" w:leftChars="0"/>
        <w:textAlignment w:val="auto"/>
        <w:rPr>
          <w:rFonts w:hint="eastAsia"/>
        </w:rPr>
      </w:pPr>
      <w:r>
        <w:rPr>
          <w:rFonts w:hint="eastAsia"/>
          <w:lang w:val="en-US" w:eastAsia="zh-CN"/>
        </w:rPr>
        <w:t>1.4.5</w:t>
      </w:r>
      <w:r>
        <w:rPr>
          <w:rFonts w:hint="eastAsia"/>
        </w:rPr>
        <w:t>是否允许未参加资格预审的投标人参与竞争并进行资格后审见投标人须知前附表。</w:t>
      </w:r>
      <w:bookmarkStart w:id="15" w:name="_Toc437271237"/>
    </w:p>
    <w:p>
      <w:pPr>
        <w:pStyle w:val="63"/>
        <w:keepNext w:val="0"/>
        <w:pageBreakBefore w:val="0"/>
        <w:numPr>
          <w:ilvl w:val="5"/>
          <w:numId w:val="0"/>
        </w:numPr>
        <w:kinsoku/>
        <w:bidi w:val="0"/>
        <w:spacing w:line="360" w:lineRule="auto"/>
        <w:textAlignment w:val="auto"/>
        <w:rPr>
          <w:rFonts w:hint="eastAsia"/>
        </w:rPr>
      </w:pPr>
      <w:r>
        <w:rPr>
          <w:rFonts w:hint="eastAsia"/>
          <w:lang w:val="en-US" w:eastAsia="zh-CN"/>
        </w:rPr>
        <w:t>1.5</w:t>
      </w:r>
      <w:r>
        <w:rPr>
          <w:rFonts w:hint="eastAsia"/>
        </w:rPr>
        <w:t>项目概况</w:t>
      </w:r>
      <w:bookmarkEnd w:id="15"/>
    </w:p>
    <w:p>
      <w:pPr>
        <w:pStyle w:val="63"/>
        <w:keepNext w:val="0"/>
        <w:pageBreakBefore w:val="0"/>
        <w:numPr>
          <w:ilvl w:val="5"/>
          <w:numId w:val="0"/>
        </w:numPr>
        <w:kinsoku/>
        <w:bidi w:val="0"/>
        <w:spacing w:line="360" w:lineRule="auto"/>
        <w:ind w:firstLine="480" w:firstLineChars="200"/>
        <w:textAlignment w:val="auto"/>
        <w:rPr>
          <w:rFonts w:hint="eastAsia"/>
        </w:rPr>
      </w:pPr>
      <w:r>
        <w:rPr>
          <w:rFonts w:hint="eastAsia"/>
          <w:lang w:val="en-US" w:eastAsia="zh-CN"/>
        </w:rPr>
        <w:t>1.5.1</w:t>
      </w:r>
      <w:r>
        <w:rPr>
          <w:rFonts w:hint="eastAsia"/>
        </w:rPr>
        <w:t>项目名称：见投标人须知前附表。</w:t>
      </w:r>
    </w:p>
    <w:p>
      <w:pPr>
        <w:pStyle w:val="63"/>
        <w:keepNext w:val="0"/>
        <w:pageBreakBefore w:val="0"/>
        <w:numPr>
          <w:ilvl w:val="5"/>
          <w:numId w:val="0"/>
        </w:numPr>
        <w:kinsoku/>
        <w:bidi w:val="0"/>
        <w:spacing w:line="360" w:lineRule="auto"/>
        <w:ind w:firstLine="480" w:firstLineChars="200"/>
        <w:textAlignment w:val="auto"/>
        <w:rPr>
          <w:rFonts w:hint="eastAsia"/>
        </w:rPr>
      </w:pPr>
      <w:r>
        <w:rPr>
          <w:rFonts w:hint="eastAsia"/>
          <w:lang w:val="en-US" w:eastAsia="zh-CN"/>
        </w:rPr>
        <w:t>1.5.2</w:t>
      </w:r>
      <w:r>
        <w:rPr>
          <w:rFonts w:hint="eastAsia"/>
        </w:rPr>
        <w:t>采购方式：见投标人须知前附表。</w:t>
      </w:r>
    </w:p>
    <w:p>
      <w:pPr>
        <w:pStyle w:val="63"/>
        <w:keepNext w:val="0"/>
        <w:pageBreakBefore w:val="0"/>
        <w:numPr>
          <w:ilvl w:val="5"/>
          <w:numId w:val="0"/>
        </w:numPr>
        <w:kinsoku/>
        <w:bidi w:val="0"/>
        <w:spacing w:line="360" w:lineRule="auto"/>
        <w:ind w:firstLine="480" w:firstLineChars="200"/>
        <w:textAlignment w:val="auto"/>
        <w:rPr>
          <w:rFonts w:hint="eastAsia"/>
        </w:rPr>
      </w:pPr>
      <w:r>
        <w:rPr>
          <w:rFonts w:hint="eastAsia"/>
          <w:lang w:val="en-US" w:eastAsia="zh-CN"/>
        </w:rPr>
        <w:t>1.5.3</w:t>
      </w:r>
      <w:r>
        <w:rPr>
          <w:rFonts w:hint="eastAsia"/>
        </w:rPr>
        <w:t>项目概况：见第四章“项目采购需求”。</w:t>
      </w:r>
      <w:bookmarkStart w:id="16" w:name="_Toc437271238"/>
    </w:p>
    <w:p>
      <w:pPr>
        <w:pStyle w:val="63"/>
        <w:keepNext w:val="0"/>
        <w:pageBreakBefore w:val="0"/>
        <w:numPr>
          <w:ilvl w:val="5"/>
          <w:numId w:val="0"/>
        </w:numPr>
        <w:kinsoku/>
        <w:bidi w:val="0"/>
        <w:spacing w:line="360" w:lineRule="auto"/>
        <w:textAlignment w:val="auto"/>
      </w:pPr>
      <w:r>
        <w:rPr>
          <w:rFonts w:hint="eastAsia"/>
          <w:lang w:val="en-US" w:eastAsia="zh-CN"/>
        </w:rPr>
        <w:t>1.6</w:t>
      </w:r>
      <w:r>
        <w:rPr>
          <w:rFonts w:hint="eastAsia"/>
        </w:rPr>
        <w:t>采购需求</w:t>
      </w:r>
      <w:bookmarkEnd w:id="16"/>
    </w:p>
    <w:p>
      <w:pPr>
        <w:pageBreakBefore w:val="0"/>
        <w:kinsoku/>
        <w:bidi w:val="0"/>
        <w:spacing w:line="360" w:lineRule="auto"/>
        <w:ind w:firstLine="480"/>
        <w:textAlignment w:val="auto"/>
        <w:rPr>
          <w:rFonts w:hint="eastAsia"/>
        </w:rPr>
      </w:pPr>
      <w:r>
        <w:rPr>
          <w:rFonts w:hint="eastAsia"/>
        </w:rPr>
        <w:t>见投标人须知前附表及第四章“项目采购需求”。</w:t>
      </w:r>
      <w:bookmarkStart w:id="17" w:name="_Toc437271239"/>
    </w:p>
    <w:p>
      <w:pPr>
        <w:pageBreakBefore w:val="0"/>
        <w:kinsoku/>
        <w:bidi w:val="0"/>
        <w:spacing w:line="360" w:lineRule="auto"/>
        <w:ind w:left="0" w:leftChars="0" w:firstLine="0" w:firstLineChars="0"/>
        <w:textAlignment w:val="auto"/>
      </w:pPr>
      <w:r>
        <w:rPr>
          <w:rFonts w:hint="eastAsia"/>
          <w:lang w:val="en-US" w:eastAsia="zh-CN"/>
        </w:rPr>
        <w:t>1.7</w:t>
      </w:r>
      <w:r>
        <w:rPr>
          <w:rFonts w:hint="eastAsia"/>
        </w:rPr>
        <w:t>费用承担</w:t>
      </w:r>
      <w:bookmarkEnd w:id="17"/>
    </w:p>
    <w:p>
      <w:pPr>
        <w:pageBreakBefore w:val="0"/>
        <w:kinsoku/>
        <w:bidi w:val="0"/>
        <w:spacing w:line="360" w:lineRule="auto"/>
        <w:ind w:firstLine="480"/>
        <w:textAlignment w:val="auto"/>
        <w:rPr>
          <w:rFonts w:hint="eastAsia"/>
        </w:rPr>
      </w:pPr>
      <w:r>
        <w:rPr>
          <w:rFonts w:hint="eastAsia"/>
        </w:rPr>
        <w:t>投标人应自行承担准备和参加本项目投标活动有关的全部费用。</w:t>
      </w:r>
      <w:bookmarkStart w:id="18" w:name="_Toc437271240"/>
    </w:p>
    <w:p>
      <w:pPr>
        <w:pageBreakBefore w:val="0"/>
        <w:kinsoku/>
        <w:bidi w:val="0"/>
        <w:spacing w:line="360" w:lineRule="auto"/>
        <w:ind w:left="0" w:leftChars="0" w:firstLine="0" w:firstLineChars="0"/>
        <w:textAlignment w:val="auto"/>
        <w:rPr>
          <w:rFonts w:hint="eastAsia"/>
        </w:rPr>
      </w:pPr>
      <w:r>
        <w:rPr>
          <w:rFonts w:hint="eastAsia"/>
          <w:lang w:val="en-US" w:eastAsia="zh-CN"/>
        </w:rPr>
        <w:t>1.8</w:t>
      </w:r>
      <w:r>
        <w:rPr>
          <w:rFonts w:hint="eastAsia"/>
        </w:rPr>
        <w:t>保密</w:t>
      </w:r>
      <w:bookmarkEnd w:id="18"/>
    </w:p>
    <w:p>
      <w:pPr>
        <w:pageBreakBefore w:val="0"/>
        <w:kinsoku/>
        <w:bidi w:val="0"/>
        <w:spacing w:line="360" w:lineRule="auto"/>
        <w:ind w:left="0" w:leftChars="0" w:firstLine="420" w:firstLineChars="0"/>
        <w:textAlignment w:val="auto"/>
        <w:rPr>
          <w:rFonts w:hint="eastAsia"/>
        </w:rPr>
      </w:pPr>
      <w:r>
        <w:rPr>
          <w:rFonts w:hint="eastAsia"/>
        </w:rPr>
        <w:t>参与招标投标活动的各方应对采购文件和投标文件中的国家、商业和技术等秘密保密，违者应对由此造成的后果承担法律责任。</w:t>
      </w:r>
      <w:bookmarkStart w:id="19" w:name="_Toc437271241"/>
    </w:p>
    <w:p>
      <w:pPr>
        <w:pageBreakBefore w:val="0"/>
        <w:kinsoku/>
        <w:bidi w:val="0"/>
        <w:spacing w:line="360" w:lineRule="auto"/>
        <w:ind w:left="0" w:leftChars="0" w:firstLine="0" w:firstLineChars="0"/>
        <w:textAlignment w:val="auto"/>
        <w:rPr>
          <w:rFonts w:hint="eastAsia"/>
        </w:rPr>
      </w:pPr>
      <w:r>
        <w:rPr>
          <w:rFonts w:hint="eastAsia"/>
          <w:lang w:val="en-US" w:eastAsia="zh-CN"/>
        </w:rPr>
        <w:t>1.9</w:t>
      </w:r>
      <w:r>
        <w:rPr>
          <w:rFonts w:hint="eastAsia"/>
        </w:rPr>
        <w:t>现场考察会及答疑会</w:t>
      </w:r>
      <w:bookmarkEnd w:id="19"/>
    </w:p>
    <w:p>
      <w:pPr>
        <w:pageBreakBefore w:val="0"/>
        <w:kinsoku/>
        <w:bidi w:val="0"/>
        <w:spacing w:line="360" w:lineRule="auto"/>
        <w:ind w:left="0" w:leftChars="0" w:firstLine="420" w:firstLineChars="0"/>
        <w:textAlignment w:val="auto"/>
        <w:rPr>
          <w:rFonts w:hint="eastAsia"/>
        </w:rPr>
      </w:pPr>
      <w:r>
        <w:rPr>
          <w:rFonts w:hint="eastAsia"/>
          <w:lang w:val="en-US" w:eastAsia="zh-CN"/>
        </w:rPr>
        <w:t>1.9.1</w:t>
      </w:r>
      <w:r>
        <w:rPr>
          <w:rFonts w:hint="eastAsia"/>
        </w:rPr>
        <w:t>采购人应当组织社会资本进行现场考察或者召开采购答疑会。但不得单独或者分别组织只有一个投标人参加的现场考察和答疑会。组织时间见投标人须知前附表。</w:t>
      </w:r>
    </w:p>
    <w:p>
      <w:pPr>
        <w:pageBreakBefore w:val="0"/>
        <w:kinsoku/>
        <w:bidi w:val="0"/>
        <w:spacing w:line="360" w:lineRule="auto"/>
        <w:ind w:left="0" w:leftChars="0" w:firstLine="420" w:firstLineChars="0"/>
        <w:textAlignment w:val="auto"/>
      </w:pPr>
      <w:r>
        <w:rPr>
          <w:rFonts w:hint="eastAsia"/>
          <w:lang w:val="en-US" w:eastAsia="zh-CN"/>
        </w:rPr>
        <w:t>1.9.2</w:t>
      </w:r>
      <w:r>
        <w:rPr>
          <w:rFonts w:hint="eastAsia"/>
        </w:rPr>
        <w:t>投标人参加现场考察和答疑会所发生的费用自理。投标人自行负责在现场考察中所发生的人员</w:t>
      </w:r>
      <w:r>
        <w:rPr>
          <w:rFonts w:hint="eastAsia"/>
          <w:lang w:val="en-US" w:eastAsia="zh-CN"/>
        </w:rPr>
        <w:t>伤亡</w:t>
      </w:r>
      <w:r>
        <w:rPr>
          <w:rFonts w:hint="eastAsia"/>
        </w:rPr>
        <w:t>和财产损失。</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rPr>
      </w:pPr>
      <w:bookmarkStart w:id="20" w:name="_Toc437271242"/>
      <w:r>
        <w:rPr>
          <w:rFonts w:hint="eastAsia"/>
          <w:lang w:val="en-US" w:eastAsia="zh-CN"/>
        </w:rPr>
        <w:tab/>
      </w:r>
      <w:r>
        <w:rPr>
          <w:rFonts w:hint="eastAsia"/>
          <w:lang w:val="en-US" w:eastAsia="zh-CN"/>
        </w:rPr>
        <w:t>2</w:t>
      </w:r>
      <w:r>
        <w:rPr>
          <w:rFonts w:hint="eastAsia"/>
        </w:rPr>
        <w:t>采购文件</w:t>
      </w:r>
      <w:bookmarkEnd w:id="20"/>
      <w:bookmarkStart w:id="21" w:name="_Toc437271243"/>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rPr>
      </w:pPr>
      <w:r>
        <w:rPr>
          <w:rFonts w:hint="eastAsia"/>
          <w:lang w:val="en-US" w:eastAsia="zh-CN"/>
        </w:rPr>
        <w:tab/>
      </w:r>
      <w:r>
        <w:rPr>
          <w:rFonts w:hint="eastAsia"/>
          <w:lang w:val="en-US" w:eastAsia="zh-CN"/>
        </w:rPr>
        <w:t>2.1</w:t>
      </w:r>
      <w:r>
        <w:rPr>
          <w:rFonts w:hint="eastAsia"/>
        </w:rPr>
        <w:t>采购文件的编制依据及组成</w:t>
      </w:r>
      <w:bookmarkEnd w:id="21"/>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lang w:val="en-US" w:eastAsia="zh-CN"/>
        </w:rPr>
        <w:tab/>
      </w:r>
      <w:r>
        <w:rPr>
          <w:rFonts w:hint="eastAsia"/>
          <w:lang w:val="en-US" w:eastAsia="zh-CN"/>
        </w:rPr>
        <w:tab/>
      </w:r>
      <w:r>
        <w:rPr>
          <w:rFonts w:hint="eastAsia"/>
          <w:b w:val="0"/>
          <w:bCs w:val="0"/>
          <w:lang w:val="en-US" w:eastAsia="zh-CN"/>
        </w:rPr>
        <w:t>2.1.1</w:t>
      </w:r>
      <w:r>
        <w:rPr>
          <w:rFonts w:hint="eastAsia"/>
          <w:b w:val="0"/>
          <w:bCs w:val="0"/>
        </w:rPr>
        <w:t>采购文件的编制依据</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(1)</w:t>
      </w:r>
      <w:r>
        <w:rPr>
          <w:rFonts w:hint="eastAsia"/>
          <w:b w:val="0"/>
          <w:bCs w:val="0"/>
        </w:rPr>
        <w:t>中华人民共和国政府采购法；</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(2)</w:t>
      </w:r>
      <w:r>
        <w:rPr>
          <w:rFonts w:hint="eastAsia"/>
          <w:b w:val="0"/>
          <w:bCs w:val="0"/>
        </w:rPr>
        <w:t>中华人民共和国政府采购法实施条例；</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(3)</w:t>
      </w:r>
      <w:r>
        <w:rPr>
          <w:rFonts w:hint="eastAsia"/>
          <w:b w:val="0"/>
          <w:bCs w:val="0"/>
        </w:rPr>
        <w:t>中华人民共和国招标投标法；</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(4)</w:t>
      </w:r>
      <w:r>
        <w:rPr>
          <w:rFonts w:hint="eastAsia"/>
          <w:b w:val="0"/>
          <w:bCs w:val="0"/>
        </w:rPr>
        <w:t>中华人民共和国招标投标法实施条例；</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(5)</w:t>
      </w:r>
      <w:r>
        <w:rPr>
          <w:rFonts w:hint="eastAsia"/>
          <w:b w:val="0"/>
          <w:bCs w:val="0"/>
        </w:rPr>
        <w:t>基础设施和公用事业特许经营管理办法；</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(6)</w:t>
      </w:r>
      <w:r>
        <w:rPr>
          <w:rFonts w:hint="eastAsia"/>
          <w:b w:val="0"/>
          <w:bCs w:val="0"/>
        </w:rPr>
        <w:t>关于在公共服务领域推广政府和社会资本合作模式的指导意见（国办发[2015]42号文件）；</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(7)</w:t>
      </w:r>
      <w:r>
        <w:rPr>
          <w:rFonts w:hint="eastAsia"/>
          <w:b w:val="0"/>
          <w:bCs w:val="0"/>
        </w:rPr>
        <w:t>关于推广运用政府和社会资本合作模式有关问题的通知（财金[2014]76号）；</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(8)</w:t>
      </w:r>
      <w:r>
        <w:rPr>
          <w:rFonts w:hint="eastAsia"/>
          <w:b w:val="0"/>
          <w:bCs w:val="0"/>
        </w:rPr>
        <w:t>关于印发政府和社会资本合作模式操作指南（试行）的通知（财金[2014]113号）；</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(9)</w:t>
      </w:r>
      <w:r>
        <w:rPr>
          <w:rFonts w:hint="eastAsia"/>
          <w:b w:val="0"/>
          <w:bCs w:val="0"/>
        </w:rPr>
        <w:t>关于规范政府和社会资本合作合同管理工作的通知（财金[2014]156号）；</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(10)</w:t>
      </w:r>
      <w:r>
        <w:rPr>
          <w:rFonts w:hint="eastAsia"/>
          <w:b w:val="0"/>
          <w:bCs w:val="0"/>
        </w:rPr>
        <w:t>财政部关于印发《政府和社会资本合作项目政府采购管理办法》的通知（财库[2014]215号）；</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(11)</w:t>
      </w:r>
      <w:r>
        <w:rPr>
          <w:rFonts w:hint="eastAsia"/>
          <w:b w:val="0"/>
          <w:bCs w:val="0"/>
        </w:rPr>
        <w:t>关于印发《政府购买服务管理办法（暂行）》的通知（财综[2014]96号）；</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(12)</w:t>
      </w:r>
      <w:r>
        <w:rPr>
          <w:rFonts w:hint="eastAsia"/>
          <w:b w:val="0"/>
          <w:bCs w:val="0"/>
        </w:rPr>
        <w:t>关于做好政府采购信息公开工作的通知（财库[2015]135号）；</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(13)</w:t>
      </w:r>
      <w:r>
        <w:rPr>
          <w:rFonts w:hint="eastAsia"/>
          <w:b w:val="0"/>
          <w:bCs w:val="0"/>
        </w:rPr>
        <w:t>外商投资产业指导目录（2015年修改）；</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b w:val="0"/>
          <w:bCs w:val="0"/>
        </w:rPr>
      </w:pPr>
      <w:r>
        <w:rPr>
          <w:rFonts w:hint="eastAsia"/>
          <w:b w:val="0"/>
          <w:bCs w:val="0"/>
          <w:lang w:val="en-US" w:eastAsia="zh-CN"/>
        </w:rPr>
        <w:tab/>
      </w:r>
      <w:r>
        <w:rPr>
          <w:rFonts w:hint="eastAsia"/>
          <w:b w:val="0"/>
          <w:bCs w:val="0"/>
          <w:lang w:val="en-US" w:eastAsia="zh-CN"/>
        </w:rPr>
        <w:t>(14)</w:t>
      </w:r>
      <w:r>
        <w:rPr>
          <w:rFonts w:hint="eastAsia"/>
          <w:b w:val="0"/>
          <w:bCs w:val="0"/>
        </w:rPr>
        <w:t>采购文件的编制依据包含但不限于上述文件，上述文件如有更新的以最新版本为准。</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720" w:leftChars="0" w:right="0" w:rightChars="0" w:firstLine="0" w:firstLineChars="0"/>
        <w:jc w:val="left"/>
        <w:textAlignment w:val="auto"/>
        <w:rPr>
          <w:rFonts w:hint="eastAsia"/>
        </w:rPr>
      </w:pPr>
      <w:r>
        <w:rPr>
          <w:rFonts w:hint="eastAsia"/>
          <w:b w:val="0"/>
          <w:bCs w:val="0"/>
          <w:lang w:val="en-US" w:eastAsia="zh-CN"/>
        </w:rPr>
        <w:tab/>
      </w:r>
      <w:r>
        <w:rPr>
          <w:rFonts w:hint="eastAsia"/>
          <w:b w:val="0"/>
          <w:bCs w:val="0"/>
          <w:lang w:val="en-US" w:eastAsia="zh-CN"/>
        </w:rPr>
        <w:t xml:space="preserve"> 2.1.2</w:t>
      </w:r>
      <w:r>
        <w:rPr>
          <w:rFonts w:hint="eastAsia"/>
        </w:rPr>
        <w:t>本采购文件包括：</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1560" w:leftChars="0" w:right="0" w:rightChars="0" w:hanging="1560" w:hangingChars="650"/>
        <w:jc w:val="left"/>
        <w:textAlignment w:val="auto"/>
        <w:outlineLvl w:val="1"/>
        <w:rPr>
          <w:rFonts w:hint="eastAsia"/>
          <w:b w:val="0"/>
          <w:bCs w:val="0"/>
        </w:rPr>
      </w:pPr>
      <w:r>
        <w:rPr>
          <w:rFonts w:hint="eastAsia"/>
        </w:rPr>
        <w:t xml:space="preserve">  </w:t>
      </w:r>
      <w:r>
        <w:rPr>
          <w:rFonts w:hint="eastAsia"/>
          <w:lang w:val="en-US" w:eastAsia="zh-CN"/>
        </w:rPr>
        <w:tab/>
      </w:r>
      <w:r>
        <w:rPr>
          <w:rFonts w:hint="eastAsia"/>
          <w:b w:val="0"/>
          <w:bCs w:val="0"/>
          <w:lang w:val="en-US" w:eastAsia="zh-CN"/>
        </w:rPr>
        <w:t xml:space="preserve">第一章  </w:t>
      </w:r>
      <w:r>
        <w:rPr>
          <w:rFonts w:hint="eastAsia"/>
          <w:b w:val="0"/>
          <w:bCs w:val="0"/>
        </w:rPr>
        <w:t>采购邀请</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1560" w:leftChars="0" w:right="0" w:rightChars="0" w:hanging="1560" w:hangingChars="650"/>
        <w:jc w:val="left"/>
        <w:textAlignment w:val="auto"/>
        <w:outlineLvl w:val="1"/>
        <w:rPr>
          <w:rFonts w:hint="eastAsia"/>
          <w:b w:val="0"/>
          <w:bCs w:val="0"/>
        </w:rPr>
      </w:pPr>
      <w:r>
        <w:rPr>
          <w:rFonts w:hint="eastAsia"/>
          <w:b w:val="0"/>
          <w:bCs w:val="0"/>
          <w:lang w:val="en-US" w:eastAsia="zh-CN"/>
        </w:rPr>
        <w:tab/>
      </w:r>
      <w:r>
        <w:rPr>
          <w:rFonts w:hint="eastAsia"/>
          <w:b w:val="0"/>
          <w:bCs w:val="0"/>
        </w:rPr>
        <w:t>第二章   投标人须知</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1560" w:leftChars="0" w:right="0" w:rightChars="0" w:hanging="1560" w:hangingChars="650"/>
        <w:jc w:val="left"/>
        <w:textAlignment w:val="auto"/>
        <w:outlineLvl w:val="1"/>
        <w:rPr>
          <w:rFonts w:hint="eastAsia"/>
          <w:b w:val="0"/>
          <w:bCs w:val="0"/>
        </w:rPr>
      </w:pPr>
      <w:r>
        <w:rPr>
          <w:rFonts w:hint="eastAsia"/>
          <w:b w:val="0"/>
          <w:bCs w:val="0"/>
          <w:lang w:val="en-US" w:eastAsia="zh-CN"/>
        </w:rPr>
        <w:tab/>
      </w:r>
      <w:r>
        <w:rPr>
          <w:rFonts w:hint="eastAsia"/>
          <w:b w:val="0"/>
          <w:bCs w:val="0"/>
        </w:rPr>
        <w:t>第三章   项目采购需求</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1560" w:leftChars="0" w:right="0" w:rightChars="0" w:hanging="1560" w:hangingChars="650"/>
        <w:jc w:val="left"/>
        <w:textAlignment w:val="auto"/>
        <w:outlineLvl w:val="1"/>
        <w:rPr>
          <w:rFonts w:hint="eastAsia"/>
          <w:b w:val="0"/>
          <w:bCs w:val="0"/>
        </w:rPr>
      </w:pPr>
      <w:r>
        <w:rPr>
          <w:rFonts w:hint="eastAsia"/>
          <w:b w:val="0"/>
          <w:bCs w:val="0"/>
          <w:lang w:val="en-US" w:eastAsia="zh-CN"/>
        </w:rPr>
        <w:tab/>
      </w:r>
      <w:r>
        <w:rPr>
          <w:rFonts w:hint="eastAsia"/>
          <w:b w:val="0"/>
          <w:bCs w:val="0"/>
        </w:rPr>
        <w:t>第</w:t>
      </w:r>
      <w:r>
        <w:rPr>
          <w:rFonts w:hint="eastAsia"/>
          <w:b w:val="0"/>
          <w:bCs w:val="0"/>
          <w:lang w:val="en-US" w:eastAsia="zh-CN"/>
        </w:rPr>
        <w:t>四</w:t>
      </w:r>
      <w:r>
        <w:rPr>
          <w:rFonts w:hint="eastAsia"/>
          <w:b w:val="0"/>
          <w:bCs w:val="0"/>
        </w:rPr>
        <w:t>章   评审办法</w:t>
      </w:r>
    </w:p>
    <w:p>
      <w:pPr>
        <w:pStyle w:val="58"/>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1560" w:leftChars="0" w:right="0" w:rightChars="0" w:hanging="1560" w:hangingChars="650"/>
        <w:jc w:val="left"/>
        <w:textAlignment w:val="auto"/>
        <w:outlineLvl w:val="1"/>
        <w:rPr>
          <w:b w:val="0"/>
          <w:bCs w:val="0"/>
        </w:rPr>
      </w:pPr>
      <w:r>
        <w:rPr>
          <w:rFonts w:hint="eastAsia"/>
          <w:b w:val="0"/>
          <w:bCs w:val="0"/>
          <w:lang w:val="en-US" w:eastAsia="zh-CN"/>
        </w:rPr>
        <w:tab/>
      </w:r>
      <w:r>
        <w:rPr>
          <w:rFonts w:hint="eastAsia"/>
          <w:b w:val="0"/>
          <w:bCs w:val="0"/>
        </w:rPr>
        <w:t>第</w:t>
      </w:r>
      <w:r>
        <w:rPr>
          <w:rFonts w:hint="eastAsia"/>
          <w:b w:val="0"/>
          <w:bCs w:val="0"/>
          <w:lang w:val="en-US" w:eastAsia="zh-CN"/>
        </w:rPr>
        <w:t>五</w:t>
      </w:r>
      <w:r>
        <w:rPr>
          <w:rFonts w:hint="eastAsia"/>
          <w:b w:val="0"/>
          <w:bCs w:val="0"/>
        </w:rPr>
        <w:t>章   投标文件格式</w:t>
      </w:r>
    </w:p>
    <w:p>
      <w:pPr>
        <w:pageBreakBefore w:val="0"/>
        <w:kinsoku/>
        <w:bidi w:val="0"/>
        <w:spacing w:line="360" w:lineRule="auto"/>
        <w:ind w:firstLine="480"/>
        <w:textAlignment w:val="auto"/>
      </w:pPr>
      <w:r>
        <w:rPr>
          <w:rFonts w:hint="eastAsia"/>
        </w:rPr>
        <w:t>所有对采购文件所做的澄清、修改，均未构成采购文件的组成部分。</w:t>
      </w:r>
    </w:p>
    <w:p>
      <w:pPr>
        <w:pStyle w:val="59"/>
        <w:pageBreakBefore w:val="0"/>
        <w:numPr>
          <w:ilvl w:val="2"/>
          <w:numId w:val="0"/>
        </w:numPr>
        <w:kinsoku/>
        <w:bidi w:val="0"/>
        <w:spacing w:line="360" w:lineRule="auto"/>
        <w:ind w:leftChars="0"/>
        <w:textAlignment w:val="auto"/>
        <w:rPr>
          <w:rFonts w:hint="eastAsia"/>
        </w:rPr>
      </w:pPr>
      <w:bookmarkStart w:id="22" w:name="_Toc437271244"/>
      <w:r>
        <w:rPr>
          <w:rFonts w:hint="eastAsia"/>
          <w:lang w:val="en-US" w:eastAsia="zh-CN"/>
        </w:rPr>
        <w:t>2.2</w:t>
      </w:r>
      <w:r>
        <w:rPr>
          <w:rFonts w:hint="eastAsia"/>
        </w:rPr>
        <w:t>采购文件的澄清和修改</w:t>
      </w:r>
      <w:bookmarkEnd w:id="22"/>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2.2.1</w:t>
      </w:r>
      <w:r>
        <w:rPr>
          <w:rFonts w:hint="eastAsia"/>
        </w:rPr>
        <w:t>采购人或者采购代理机构可以对已发出的采购文件进行必要的澄清或者修改。澄清或者修改的内容可能会影响投标文件的编制的，采购人或者采购代理机构应当在投标人须知前附表规定的投标截止时间至少15日前，以书面形式通知所有获取采购文件的潜在投标人；不足15日的，采购人或者采购代理机构应当顺延提交投标文件的截止时间。</w:t>
      </w:r>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2.2.2</w:t>
      </w:r>
      <w:r>
        <w:rPr>
          <w:rFonts w:hint="eastAsia"/>
        </w:rPr>
        <w:t>如潜在投标人对采购文件内容有疑义，需在投标人须知资料表中规定的时间前以书面形式想采购人或者采购代理机构提出，采购人或采购代理机构收到将进行书面答复。如答复内容需要对采购文件进行澄清和修改的将按照第2.2.1条执行。</w:t>
      </w:r>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2.2.3</w:t>
      </w:r>
      <w:r>
        <w:rPr>
          <w:rFonts w:hint="eastAsia"/>
        </w:rPr>
        <w:t>潜在投标人收到书面答疑后，应向采购人或采购代理机构回函确认。</w:t>
      </w:r>
      <w:bookmarkStart w:id="23" w:name="_Toc437271245"/>
      <w:bookmarkStart w:id="24" w:name="_Ref435799338"/>
    </w:p>
    <w:p>
      <w:pPr>
        <w:pStyle w:val="59"/>
        <w:pageBreakBefore w:val="0"/>
        <w:numPr>
          <w:ilvl w:val="2"/>
          <w:numId w:val="0"/>
        </w:numPr>
        <w:kinsoku/>
        <w:bidi w:val="0"/>
        <w:spacing w:line="360" w:lineRule="auto"/>
        <w:ind w:left="-288" w:leftChars="0"/>
        <w:textAlignment w:val="auto"/>
        <w:rPr>
          <w:rFonts w:hint="eastAsia"/>
          <w:b/>
          <w:bCs w:val="0"/>
        </w:rPr>
      </w:pPr>
      <w:r>
        <w:rPr>
          <w:rFonts w:hint="eastAsia"/>
          <w:b/>
          <w:bCs w:val="0"/>
          <w:lang w:val="en-US" w:eastAsia="zh-CN"/>
        </w:rPr>
        <w:t>3.</w:t>
      </w:r>
      <w:r>
        <w:rPr>
          <w:rFonts w:hint="eastAsia"/>
          <w:b/>
          <w:bCs w:val="0"/>
        </w:rPr>
        <w:t>投标文件</w:t>
      </w:r>
      <w:bookmarkEnd w:id="23"/>
      <w:bookmarkEnd w:id="24"/>
      <w:bookmarkStart w:id="25" w:name="_Toc437271246"/>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3.1</w:t>
      </w:r>
      <w:r>
        <w:rPr>
          <w:rFonts w:hint="eastAsia"/>
        </w:rPr>
        <w:t>投标的语言与计量</w:t>
      </w:r>
      <w:bookmarkEnd w:id="25"/>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3.1.1</w:t>
      </w:r>
      <w:r>
        <w:rPr>
          <w:rFonts w:hint="eastAsia"/>
        </w:rPr>
        <w:t>投标人提交的投标文件以及投标人与采购和采购代理机构就有关招投标活动的所有来往函电均以中文文字书写。投标人提交的支持资料和已印刷的证件或资料可以用另一种语言，但相应内容均附有中文的翻译本，在解释投标文件时以翻译文本为准。</w:t>
      </w:r>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3.1.2</w:t>
      </w:r>
      <w:r>
        <w:rPr>
          <w:rFonts w:hint="eastAsia"/>
        </w:rPr>
        <w:t>除在采购文件的技术规格中另有规定外，计量单位应适用中华人民共和国法定计量单位。</w:t>
      </w:r>
      <w:bookmarkStart w:id="26" w:name="_Toc437271247"/>
      <w:bookmarkStart w:id="27" w:name="_Ref435905074"/>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3.2</w:t>
      </w:r>
      <w:r>
        <w:rPr>
          <w:rFonts w:hint="eastAsia"/>
        </w:rPr>
        <w:t>投标文件的组成</w:t>
      </w:r>
      <w:bookmarkEnd w:id="26"/>
      <w:bookmarkEnd w:id="27"/>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3.2.1</w:t>
      </w:r>
      <w:r>
        <w:rPr>
          <w:rFonts w:hint="eastAsia"/>
        </w:rPr>
        <w:t>投标人应按照第六章投标文件格式完整地填写投标文件，并对其提交的投标文件的真实性、合法性承担法律责任。</w:t>
      </w:r>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3.2.2</w:t>
      </w:r>
      <w:r>
        <w:rPr>
          <w:rFonts w:hint="eastAsia"/>
        </w:rPr>
        <w:t>投标人应将任何不同与采购文件的招标内容、要求和商务条款列于“偏离表”中，同时在“偏离表”中注明其他条款无偏离；若所有条款均无偏离也应在“偏离表”中注明所有条款均无偏离。未在“偏离表”中列明的偏离不予认可，在后期合同谈判过程中以采购文件为准。</w:t>
      </w:r>
      <w:bookmarkStart w:id="28" w:name="_Toc437271248"/>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3.3</w:t>
      </w:r>
      <w:r>
        <w:rPr>
          <w:rFonts w:hint="eastAsia"/>
        </w:rPr>
        <w:t>投标价格</w:t>
      </w:r>
      <w:bookmarkEnd w:id="28"/>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3.3.1</w:t>
      </w:r>
      <w:r>
        <w:rPr>
          <w:rFonts w:hint="eastAsia"/>
        </w:rPr>
        <w:t>投标人应按第六章“投标文件格式”的要求填写。</w:t>
      </w:r>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3.3.2</w:t>
      </w:r>
      <w:r>
        <w:rPr>
          <w:rFonts w:hint="eastAsia"/>
        </w:rPr>
        <w:t>投标价格应包含采购文件中列明的项目全生命周期内的所有投资、建设、运营及移交费用，除非有特别声明，未列明的将视为包含在投标价格中。报价方式及控制价（或其他控制条件）应在投标人须知前附表中明确。</w:t>
      </w:r>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3.3.3</w:t>
      </w:r>
      <w:r>
        <w:rPr>
          <w:rFonts w:hint="eastAsia"/>
        </w:rPr>
        <w:t>本次采购不接受选择性报价或者有附加条件的报价。</w:t>
      </w:r>
      <w:bookmarkStart w:id="29" w:name="_Toc437271249"/>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3.4</w:t>
      </w:r>
      <w:bookmarkEnd w:id="29"/>
      <w:bookmarkStart w:id="30" w:name="_Toc437271251"/>
      <w:r>
        <w:rPr>
          <w:rFonts w:hint="eastAsia"/>
        </w:rPr>
        <w:t>投标文件有效期</w:t>
      </w:r>
      <w:bookmarkEnd w:id="30"/>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3.4.1</w:t>
      </w:r>
      <w:r>
        <w:rPr>
          <w:rFonts w:hint="eastAsia"/>
        </w:rPr>
        <w:t>投标文件应自投标人须知前附表中规定的提交投标文件的截止日期起，并在投标人须知前附表中所述期限内保持有效。投标文件有效期不足的投标文件将被视为非实质性响应，可以予以否决。</w:t>
      </w:r>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3.4.2</w:t>
      </w:r>
      <w:r>
        <w:rPr>
          <w:rFonts w:hint="eastAsia"/>
        </w:rPr>
        <w:t>在投标人须知前附表规定的投标文件有效期内，投标人不得要求撤销或修改其投标文件。</w:t>
      </w:r>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3.4.3</w:t>
      </w:r>
      <w:r>
        <w:rPr>
          <w:rFonts w:hint="eastAsia"/>
        </w:rPr>
        <w:t>出现特殊情况需要延长投标文件有效期的，采购人以书面形式通知所有投标人延长投标文件有效期。投标人同意延长的，应相应延长其投标保证金的有效期，但不得要求或被允许修改或撤销其投标文件；投标人拒绝延长的，其</w:t>
      </w:r>
      <w:r>
        <w:rPr>
          <w:rFonts w:hint="eastAsia"/>
          <w:lang w:val="en-US" w:eastAsia="zh-CN"/>
        </w:rPr>
        <w:t>投标</w:t>
      </w:r>
      <w:r>
        <w:rPr>
          <w:rFonts w:hint="eastAsia"/>
        </w:rPr>
        <w:t>相应失效，但投标人有权收回其投标保证金。</w:t>
      </w:r>
      <w:bookmarkStart w:id="31" w:name="_Toc437271252"/>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3.5</w:t>
      </w:r>
      <w:r>
        <w:rPr>
          <w:rFonts w:hint="eastAsia"/>
        </w:rPr>
        <w:t>投标保证金</w:t>
      </w:r>
      <w:bookmarkEnd w:id="31"/>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3.5.1</w:t>
      </w:r>
      <w:r>
        <w:rPr>
          <w:rFonts w:hint="eastAsia"/>
        </w:rPr>
        <w:t>投标人应按投标人须知前附表规定的金额、形式递交投标保证金，并作为其投标文件的一部分。投标保证金有效期应当与投标有效期一致。</w:t>
      </w:r>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3.5.2</w:t>
      </w:r>
      <w:r>
        <w:rPr>
          <w:rFonts w:hint="eastAsia"/>
        </w:rPr>
        <w:t>投标人为联合体的，可以由联合体中的一方或者多方共同缴纳投标保证金，其缴纳的投标保证金对联合体各方均具有约束力。并符合投标人须知前附表的规定。</w:t>
      </w:r>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3.5.3</w:t>
      </w:r>
      <w:r>
        <w:rPr>
          <w:rFonts w:hint="eastAsia"/>
        </w:rPr>
        <w:t>采购人在中标通知书发出之日起5个工作日内，向未成交投标人退还投标保证金。采购人与中标人签订采购合同后5个工作日内，向中标人退还投标保证金。</w:t>
      </w:r>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3.5.4</w:t>
      </w:r>
      <w:r>
        <w:rPr>
          <w:rFonts w:hint="eastAsia"/>
        </w:rPr>
        <w:t>下列任一情况发生时，投标保证金将不予退还（不予退换的投标保证金将按照相关规定上缴财政）：</w:t>
      </w:r>
    </w:p>
    <w:p>
      <w:pPr>
        <w:pStyle w:val="59"/>
        <w:pageBreakBefore w:val="0"/>
        <w:numPr>
          <w:ilvl w:val="2"/>
          <w:numId w:val="0"/>
        </w:numPr>
        <w:kinsoku/>
        <w:bidi w:val="0"/>
        <w:spacing w:line="360" w:lineRule="auto"/>
        <w:ind w:left="-288" w:leftChars="0" w:firstLine="420" w:firstLineChars="0"/>
        <w:textAlignment w:val="auto"/>
        <w:rPr>
          <w:rFonts w:hint="eastAsia"/>
        </w:rPr>
      </w:pPr>
      <w:r>
        <w:rPr>
          <w:rFonts w:hint="eastAsia"/>
          <w:lang w:val="en-US" w:eastAsia="zh-CN"/>
        </w:rPr>
        <w:t>(1)</w:t>
      </w:r>
      <w:r>
        <w:rPr>
          <w:rFonts w:hint="eastAsia"/>
        </w:rPr>
        <w:t>投标人在提交投标文件截止时间后撤回投标文件的；</w:t>
      </w:r>
    </w:p>
    <w:p>
      <w:pPr>
        <w:pStyle w:val="59"/>
        <w:pageBreakBefore w:val="0"/>
        <w:numPr>
          <w:ilvl w:val="2"/>
          <w:numId w:val="0"/>
        </w:numPr>
        <w:kinsoku/>
        <w:bidi w:val="0"/>
        <w:spacing w:line="360" w:lineRule="auto"/>
        <w:ind w:left="-288" w:leftChars="0" w:firstLine="420" w:firstLineChars="0"/>
        <w:textAlignment w:val="auto"/>
        <w:rPr>
          <w:rFonts w:hint="eastAsia"/>
        </w:rPr>
      </w:pPr>
      <w:r>
        <w:rPr>
          <w:rFonts w:hint="eastAsia"/>
          <w:lang w:val="en-US" w:eastAsia="zh-CN"/>
        </w:rPr>
        <w:t>(2)</w:t>
      </w:r>
      <w:r>
        <w:rPr>
          <w:rFonts w:hint="eastAsia"/>
        </w:rPr>
        <w:t>投标人在投标文件中提供虚假材料的；</w:t>
      </w:r>
    </w:p>
    <w:p>
      <w:pPr>
        <w:pStyle w:val="59"/>
        <w:pageBreakBefore w:val="0"/>
        <w:numPr>
          <w:ilvl w:val="2"/>
          <w:numId w:val="0"/>
        </w:numPr>
        <w:kinsoku/>
        <w:bidi w:val="0"/>
        <w:spacing w:line="360" w:lineRule="auto"/>
        <w:ind w:left="-288" w:leftChars="0" w:firstLine="420" w:firstLineChars="0"/>
        <w:textAlignment w:val="auto"/>
        <w:rPr>
          <w:rFonts w:hint="eastAsia"/>
        </w:rPr>
      </w:pPr>
      <w:r>
        <w:rPr>
          <w:rFonts w:hint="eastAsia"/>
          <w:lang w:val="en-US" w:eastAsia="zh-CN"/>
        </w:rPr>
        <w:t>(3)</w:t>
      </w:r>
      <w:r>
        <w:rPr>
          <w:rFonts w:hint="eastAsia"/>
        </w:rPr>
        <w:t>除因不可抗力或采购文件认可的情形外，中标人未按采购文件规定提交履约担保或不与采购人签订合同的；</w:t>
      </w:r>
    </w:p>
    <w:p>
      <w:pPr>
        <w:pStyle w:val="59"/>
        <w:pageBreakBefore w:val="0"/>
        <w:numPr>
          <w:ilvl w:val="2"/>
          <w:numId w:val="0"/>
        </w:numPr>
        <w:kinsoku/>
        <w:bidi w:val="0"/>
        <w:spacing w:line="360" w:lineRule="auto"/>
        <w:ind w:left="-288" w:leftChars="0" w:firstLine="420" w:firstLineChars="0"/>
        <w:textAlignment w:val="auto"/>
        <w:rPr>
          <w:rFonts w:hint="eastAsia"/>
        </w:rPr>
      </w:pPr>
      <w:r>
        <w:rPr>
          <w:rFonts w:hint="eastAsia"/>
          <w:lang w:val="en-US" w:eastAsia="zh-CN"/>
        </w:rPr>
        <w:t>(4)</w:t>
      </w:r>
      <w:r>
        <w:rPr>
          <w:rFonts w:hint="eastAsia"/>
        </w:rPr>
        <w:t>投标人与采购人、其他投标人或者采购代理机构恶意串通的</w:t>
      </w:r>
      <w:r>
        <w:rPr>
          <w:rFonts w:hint="eastAsia"/>
          <w:lang w:val="en-US" w:eastAsia="zh-CN"/>
        </w:rPr>
        <w:t>;</w:t>
      </w:r>
    </w:p>
    <w:p>
      <w:pPr>
        <w:pStyle w:val="59"/>
        <w:pageBreakBefore w:val="0"/>
        <w:numPr>
          <w:ilvl w:val="2"/>
          <w:numId w:val="0"/>
        </w:numPr>
        <w:kinsoku/>
        <w:bidi w:val="0"/>
        <w:spacing w:line="360" w:lineRule="auto"/>
        <w:ind w:left="-288" w:leftChars="0" w:firstLine="420" w:firstLineChars="0"/>
        <w:textAlignment w:val="auto"/>
      </w:pPr>
      <w:r>
        <w:rPr>
          <w:rFonts w:hint="eastAsia"/>
          <w:lang w:val="en-US" w:eastAsia="zh-CN"/>
        </w:rPr>
        <w:t>(5)</w:t>
      </w:r>
      <w:r>
        <w:rPr>
          <w:rFonts w:hint="eastAsia"/>
        </w:rPr>
        <w:t>法律、行政规章规定的其他情形。</w:t>
      </w:r>
    </w:p>
    <w:p>
      <w:pPr>
        <w:pStyle w:val="59"/>
        <w:pageBreakBefore w:val="0"/>
        <w:numPr>
          <w:ilvl w:val="2"/>
          <w:numId w:val="0"/>
        </w:numPr>
        <w:kinsoku/>
        <w:bidi w:val="0"/>
        <w:spacing w:line="360" w:lineRule="auto"/>
        <w:ind w:leftChars="0"/>
        <w:textAlignment w:val="auto"/>
        <w:rPr>
          <w:rFonts w:hint="eastAsia"/>
        </w:rPr>
      </w:pPr>
      <w:bookmarkStart w:id="32" w:name="_Ref435798879"/>
      <w:bookmarkStart w:id="33" w:name="_Toc437271253"/>
      <w:r>
        <w:rPr>
          <w:rFonts w:hint="eastAsia"/>
          <w:lang w:val="en-US" w:eastAsia="zh-CN"/>
        </w:rPr>
        <w:t>3.6</w:t>
      </w:r>
      <w:r>
        <w:rPr>
          <w:rFonts w:hint="eastAsia"/>
        </w:rPr>
        <w:t>投标文件的编制</w:t>
      </w:r>
      <w:bookmarkEnd w:id="32"/>
      <w:bookmarkEnd w:id="33"/>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3.6.1</w:t>
      </w:r>
      <w:r>
        <w:rPr>
          <w:rFonts w:hint="eastAsia"/>
        </w:rPr>
        <w:t>投标文件应按第六章“投标文件格式”进行编写，如有必要，可以增加附页，作为投标文件的组成部分。</w:t>
      </w:r>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3.6.2</w:t>
      </w:r>
      <w:r>
        <w:rPr>
          <w:rFonts w:hint="eastAsia"/>
        </w:rPr>
        <w:t>投标文件应当对采购文件的实质性内容做出响应。</w:t>
      </w:r>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3.6.3</w:t>
      </w:r>
      <w:r>
        <w:rPr>
          <w:rFonts w:hint="eastAsia"/>
        </w:rPr>
        <w:t>投标文件的正本需打印或用不褪色墨水书写，并有法定代表人或经其正式授权的委托代理人签字或盖单位章。委托代理人签字的，须将以书面形式出具的“授权委托书”负载招标文件内。</w:t>
      </w:r>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3.6.4</w:t>
      </w:r>
      <w:r>
        <w:rPr>
          <w:rFonts w:hint="eastAsia"/>
        </w:rPr>
        <w:t>招标文件必须用不可拆解的胶装装订，因投标文件内容缺页或遗失对投标人造成的影响投标人自行承担。任何行间插字、涂改和增删，改动之处应加盖单位章或由法定代表人或委托代理人签字确认。</w:t>
      </w:r>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3.6.5</w:t>
      </w:r>
      <w:r>
        <w:rPr>
          <w:rFonts w:hint="eastAsia"/>
        </w:rPr>
        <w:t>投标文件份数见投标人须知前附表。投标文件的正本与副本应分别装订成册，并编制目录。</w:t>
      </w:r>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3.6.6</w:t>
      </w:r>
      <w:r>
        <w:rPr>
          <w:rFonts w:hint="eastAsia"/>
        </w:rPr>
        <w:t>具体装订要求见投资人须知前附表规定。正本和副本的封面上应清楚地标记“正本”或“副本”的字样。当副本和正本不一致时，以正本为准。</w:t>
      </w:r>
      <w:bookmarkStart w:id="34" w:name="_Ref435799357"/>
      <w:bookmarkStart w:id="35" w:name="_Toc437271254"/>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4.</w:t>
      </w:r>
      <w:r>
        <w:rPr>
          <w:rFonts w:hint="eastAsia"/>
        </w:rPr>
        <w:t>投标文件的递交</w:t>
      </w:r>
      <w:bookmarkEnd w:id="34"/>
      <w:bookmarkEnd w:id="35"/>
      <w:bookmarkStart w:id="36" w:name="_Toc437271255"/>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4.1</w:t>
      </w:r>
      <w:r>
        <w:rPr>
          <w:rFonts w:hint="eastAsia"/>
        </w:rPr>
        <w:t>投标文件的密封和标记</w:t>
      </w:r>
      <w:bookmarkEnd w:id="36"/>
      <w:bookmarkStart w:id="37" w:name="_Ref435798830"/>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4.1.1</w:t>
      </w:r>
      <w:r>
        <w:rPr>
          <w:rFonts w:hint="eastAsia"/>
        </w:rPr>
        <w:t>投标文件的正本与副本应进行包装加贴封条，并在封套的封口处由法定代表人或其委托代理人签字或盖单位章。</w:t>
      </w:r>
      <w:bookmarkEnd w:id="37"/>
      <w:bookmarkStart w:id="38" w:name="_Ref435798852"/>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4.1.2</w:t>
      </w:r>
      <w:r>
        <w:rPr>
          <w:rFonts w:hint="eastAsia"/>
        </w:rPr>
        <w:t>投标文件的封面上应清楚地标记“正本”或“副本”字样，封套上应写明的其他内容见投标人须知前附表。</w:t>
      </w:r>
      <w:bookmarkEnd w:id="38"/>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4.1.3</w:t>
      </w:r>
      <w:r>
        <w:rPr>
          <w:rFonts w:hint="eastAsia"/>
        </w:rPr>
        <w:t>未按本章第</w:t>
      </w:r>
      <w:r>
        <w:fldChar w:fldCharType="begin"/>
      </w:r>
      <w:r>
        <w:instrText xml:space="preserve"> </w:instrText>
      </w:r>
      <w:r>
        <w:rPr>
          <w:rFonts w:hint="eastAsia"/>
        </w:rPr>
        <w:instrText xml:space="preserve">REF _Ref435798830 \r \h</w:instrText>
      </w:r>
      <w:r>
        <w:instrText xml:space="preserve"> </w:instrText>
      </w:r>
      <w:r>
        <w:fldChar w:fldCharType="separate"/>
      </w:r>
      <w:r>
        <w:t>4.1.1</w:t>
      </w:r>
      <w:r>
        <w:fldChar w:fldCharType="end"/>
      </w:r>
      <w:r>
        <w:rPr>
          <w:rFonts w:hint="eastAsia"/>
        </w:rPr>
        <w:t>项或第</w:t>
      </w:r>
      <w:r>
        <w:fldChar w:fldCharType="begin"/>
      </w:r>
      <w:r>
        <w:instrText xml:space="preserve"> </w:instrText>
      </w:r>
      <w:r>
        <w:rPr>
          <w:rFonts w:hint="eastAsia"/>
        </w:rPr>
        <w:instrText xml:space="preserve">REF _Ref435798852 \r \h</w:instrText>
      </w:r>
      <w:r>
        <w:instrText xml:space="preserve"> </w:instrText>
      </w:r>
      <w:r>
        <w:fldChar w:fldCharType="separate"/>
      </w:r>
      <w:r>
        <w:t>4.1.2</w:t>
      </w:r>
      <w:r>
        <w:fldChar w:fldCharType="end"/>
      </w:r>
      <w:r>
        <w:rPr>
          <w:rFonts w:hint="eastAsia"/>
        </w:rPr>
        <w:t>项要求密封和加写标记的投标文件，采购人不予受理。</w:t>
      </w:r>
      <w:bookmarkStart w:id="39" w:name="_Toc437271256"/>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4.2</w:t>
      </w:r>
      <w:r>
        <w:rPr>
          <w:rFonts w:hint="eastAsia"/>
        </w:rPr>
        <w:t>投标文件的提交</w:t>
      </w:r>
      <w:bookmarkEnd w:id="39"/>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4.2.1</w:t>
      </w:r>
      <w:r>
        <w:rPr>
          <w:rFonts w:hint="eastAsia"/>
        </w:rPr>
        <w:t>投标人应在规定的投标截止时间前提交投标文件。</w:t>
      </w:r>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4.2.2</w:t>
      </w:r>
      <w:r>
        <w:rPr>
          <w:rFonts w:hint="eastAsia"/>
        </w:rPr>
        <w:t>投标人提交投标文件的地点：见投标人须知前附表。</w:t>
      </w:r>
    </w:p>
    <w:p>
      <w:pPr>
        <w:pStyle w:val="59"/>
        <w:pageBreakBefore w:val="0"/>
        <w:numPr>
          <w:ilvl w:val="2"/>
          <w:numId w:val="0"/>
        </w:numPr>
        <w:kinsoku/>
        <w:bidi w:val="0"/>
        <w:spacing w:line="360" w:lineRule="auto"/>
        <w:ind w:left="-288" w:leftChars="0"/>
        <w:textAlignment w:val="auto"/>
        <w:rPr>
          <w:rFonts w:hint="eastAsia"/>
        </w:rPr>
      </w:pPr>
      <w:r>
        <w:rPr>
          <w:rFonts w:hint="eastAsia"/>
          <w:lang w:val="en-US" w:eastAsia="zh-CN"/>
        </w:rPr>
        <w:tab/>
      </w:r>
      <w:r>
        <w:rPr>
          <w:rFonts w:hint="eastAsia"/>
          <w:lang w:val="en-US" w:eastAsia="zh-CN"/>
        </w:rPr>
        <w:t>4.2.3</w:t>
      </w:r>
      <w:r>
        <w:rPr>
          <w:rFonts w:hint="eastAsia"/>
        </w:rPr>
        <w:t>投标人所提交的投标文件不予退还。</w:t>
      </w:r>
    </w:p>
    <w:p>
      <w:pPr>
        <w:pStyle w:val="59"/>
        <w:pageBreakBefore w:val="0"/>
        <w:numPr>
          <w:ilvl w:val="2"/>
          <w:numId w:val="0"/>
        </w:numPr>
        <w:kinsoku/>
        <w:bidi w:val="0"/>
        <w:spacing w:line="360" w:lineRule="auto"/>
        <w:ind w:left="-288" w:leftChars="0"/>
        <w:textAlignment w:val="auto"/>
      </w:pPr>
      <w:r>
        <w:rPr>
          <w:rFonts w:hint="eastAsia"/>
          <w:lang w:val="en-US" w:eastAsia="zh-CN"/>
        </w:rPr>
        <w:tab/>
      </w:r>
      <w:r>
        <w:rPr>
          <w:rFonts w:hint="eastAsia"/>
          <w:lang w:val="en-US" w:eastAsia="zh-CN"/>
        </w:rPr>
        <w:t>4.2.4</w:t>
      </w:r>
      <w:r>
        <w:rPr>
          <w:rFonts w:hint="eastAsia"/>
        </w:rPr>
        <w:t>逾期提交的或者未提交至指定地点的投标文件，采购人不予受理。</w:t>
      </w:r>
    </w:p>
    <w:p>
      <w:pPr>
        <w:pStyle w:val="59"/>
        <w:pageBreakBefore w:val="0"/>
        <w:numPr>
          <w:ilvl w:val="2"/>
          <w:numId w:val="0"/>
        </w:numPr>
        <w:kinsoku/>
        <w:bidi w:val="0"/>
        <w:spacing w:line="360" w:lineRule="auto"/>
        <w:ind w:leftChars="0"/>
        <w:textAlignment w:val="auto"/>
        <w:rPr>
          <w:rFonts w:hint="eastAsia"/>
        </w:rPr>
      </w:pPr>
      <w:bookmarkStart w:id="40" w:name="_Toc437271257"/>
      <w:r>
        <w:rPr>
          <w:rFonts w:hint="eastAsia"/>
          <w:lang w:val="en-US" w:eastAsia="zh-CN"/>
        </w:rPr>
        <w:t>4.3</w:t>
      </w:r>
      <w:r>
        <w:rPr>
          <w:rFonts w:hint="eastAsia"/>
        </w:rPr>
        <w:t>投标文件的修改与撤回</w:t>
      </w:r>
      <w:bookmarkEnd w:id="40"/>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4.3.1</w:t>
      </w:r>
      <w:r>
        <w:rPr>
          <w:rFonts w:hint="eastAsia"/>
        </w:rPr>
        <w:t>在规定的投标截止时间前，投标人可以修改或撤回己递交的投标文件，但应以书面形式通知采购人。</w:t>
      </w:r>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4.3.2</w:t>
      </w:r>
      <w:r>
        <w:rPr>
          <w:rFonts w:hint="eastAsia"/>
        </w:rPr>
        <w:t>投标人修改或撤回已递交投标文件的书面通知应按照本章第</w:t>
      </w:r>
      <w:r>
        <w:rPr>
          <w:rFonts w:hint="eastAsia"/>
          <w:lang w:val="en-US" w:eastAsia="zh-CN"/>
        </w:rPr>
        <w:t>4.7</w:t>
      </w:r>
      <w:r>
        <w:rPr>
          <w:rFonts w:hint="eastAsia"/>
        </w:rPr>
        <w:t>项的要求签字或盖章。</w:t>
      </w:r>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4.3.3</w:t>
      </w:r>
      <w:r>
        <w:rPr>
          <w:rFonts w:hint="eastAsia"/>
        </w:rPr>
        <w:t>修改的内容为投标文件的组成部分。</w:t>
      </w:r>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4.3.4</w:t>
      </w:r>
      <w:r>
        <w:rPr>
          <w:rFonts w:hint="eastAsia"/>
        </w:rPr>
        <w:t>修改的投标文件应按照本章第</w:t>
      </w:r>
      <w:r>
        <w:fldChar w:fldCharType="begin"/>
      </w:r>
      <w:r>
        <w:instrText xml:space="preserve"> </w:instrText>
      </w:r>
      <w:r>
        <w:rPr>
          <w:rFonts w:hint="eastAsia"/>
        </w:rPr>
        <w:instrText xml:space="preserve">REF _Ref435799338 \r \h</w:instrText>
      </w:r>
      <w:r>
        <w:instrText xml:space="preserve"> </w:instrText>
      </w:r>
      <w:r>
        <w:fldChar w:fldCharType="separate"/>
      </w:r>
      <w:r>
        <w:t>3</w:t>
      </w:r>
      <w:r>
        <w:fldChar w:fldCharType="end"/>
      </w:r>
      <w:r>
        <w:rPr>
          <w:rFonts w:hint="eastAsia"/>
        </w:rPr>
        <w:t>条、第</w:t>
      </w:r>
      <w:r>
        <w:fldChar w:fldCharType="begin"/>
      </w:r>
      <w:r>
        <w:instrText xml:space="preserve"> </w:instrText>
      </w:r>
      <w:r>
        <w:rPr>
          <w:rFonts w:hint="eastAsia"/>
        </w:rPr>
        <w:instrText xml:space="preserve">REF _Ref435799357 \r \h</w:instrText>
      </w:r>
      <w:r>
        <w:instrText xml:space="preserve"> </w:instrText>
      </w:r>
      <w:r>
        <w:fldChar w:fldCharType="separate"/>
      </w:r>
      <w:r>
        <w:t>4</w:t>
      </w:r>
      <w:r>
        <w:fldChar w:fldCharType="end"/>
      </w:r>
      <w:r>
        <w:rPr>
          <w:rFonts w:hint="eastAsia"/>
        </w:rPr>
        <w:t>条规定进行编制、密封、标记和递交，并标明“修改”字样。</w:t>
      </w:r>
      <w:bookmarkStart w:id="41" w:name="_Toc437271258"/>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5</w:t>
      </w:r>
      <w:r>
        <w:rPr>
          <w:rFonts w:hint="eastAsia"/>
        </w:rPr>
        <w:t>开标</w:t>
      </w:r>
      <w:bookmarkEnd w:id="41"/>
      <w:bookmarkStart w:id="42" w:name="_Toc437271259"/>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lang w:val="en-US" w:eastAsia="zh-CN"/>
        </w:rPr>
        <w:t>5.1</w:t>
      </w:r>
      <w:r>
        <w:rPr>
          <w:rFonts w:hint="eastAsia"/>
        </w:rPr>
        <w:t>开标的时间和地点</w:t>
      </w:r>
      <w:bookmarkEnd w:id="42"/>
    </w:p>
    <w:p>
      <w:pPr>
        <w:pStyle w:val="59"/>
        <w:pageBreakBefore w:val="0"/>
        <w:numPr>
          <w:ilvl w:val="2"/>
          <w:numId w:val="0"/>
        </w:numPr>
        <w:kinsoku/>
        <w:bidi w:val="0"/>
        <w:spacing w:line="360" w:lineRule="auto"/>
        <w:ind w:leftChars="0"/>
        <w:textAlignment w:val="auto"/>
        <w:rPr>
          <w:rFonts w:hint="eastAsia"/>
        </w:rPr>
      </w:pPr>
      <w:r>
        <w:rPr>
          <w:rFonts w:hint="eastAsia"/>
          <w:lang w:val="en-US" w:eastAsia="zh-CN"/>
        </w:rPr>
        <w:tab/>
      </w:r>
      <w:r>
        <w:rPr>
          <w:rFonts w:hint="eastAsia"/>
        </w:rPr>
        <w:t>釆购人在投标人须知前附表规定的开标时间和地点公开开启投标文件，并邀请所有投标人的法定代表人或其委托代理人准时参加。参加开启的委托代理人应签名报到以证明其出席。如不出席，视为同意此次开标结果。</w:t>
      </w:r>
      <w:bookmarkStart w:id="43" w:name="_Toc437271260"/>
    </w:p>
    <w:p>
      <w:pPr>
        <w:pStyle w:val="59"/>
        <w:pageBreakBefore w:val="0"/>
        <w:numPr>
          <w:ilvl w:val="2"/>
          <w:numId w:val="0"/>
        </w:numPr>
        <w:kinsoku/>
        <w:bidi w:val="0"/>
        <w:spacing w:line="360" w:lineRule="auto"/>
        <w:ind w:leftChars="0" w:firstLine="420" w:firstLineChars="0"/>
        <w:textAlignment w:val="auto"/>
      </w:pPr>
      <w:r>
        <w:rPr>
          <w:rFonts w:hint="eastAsia"/>
          <w:lang w:val="en-US" w:eastAsia="zh-CN"/>
        </w:rPr>
        <w:t>5.2</w:t>
      </w:r>
      <w:r>
        <w:rPr>
          <w:rFonts w:hint="eastAsia"/>
        </w:rPr>
        <w:t>开标</w:t>
      </w:r>
      <w:bookmarkEnd w:id="43"/>
    </w:p>
    <w:p>
      <w:pPr>
        <w:pageBreakBefore w:val="0"/>
        <w:kinsoku/>
        <w:bidi w:val="0"/>
        <w:spacing w:line="360" w:lineRule="auto"/>
        <w:ind w:firstLine="480"/>
        <w:textAlignment w:val="auto"/>
      </w:pPr>
      <w:r>
        <w:rPr>
          <w:rFonts w:hint="eastAsia"/>
        </w:rPr>
        <w:t>主持人按下列程序进开标：</w:t>
      </w:r>
    </w:p>
    <w:p>
      <w:pPr>
        <w:pageBreakBefore w:val="0"/>
        <w:kinsoku/>
        <w:bidi w:val="0"/>
        <w:spacing w:line="360" w:lineRule="auto"/>
        <w:ind w:left="849" w:leftChars="200" w:hanging="369" w:hangingChars="154"/>
        <w:textAlignment w:val="auto"/>
      </w:pPr>
      <w:r>
        <w:rPr>
          <w:rFonts w:hint="eastAsia"/>
        </w:rPr>
        <w:t>（1）宣布开标纪律；</w:t>
      </w:r>
    </w:p>
    <w:p>
      <w:pPr>
        <w:pageBreakBefore w:val="0"/>
        <w:kinsoku/>
        <w:bidi w:val="0"/>
        <w:spacing w:line="360" w:lineRule="auto"/>
        <w:ind w:left="849" w:leftChars="200" w:hanging="369" w:hangingChars="154"/>
        <w:textAlignment w:val="auto"/>
      </w:pPr>
      <w:r>
        <w:rPr>
          <w:rFonts w:hint="eastAsia"/>
        </w:rPr>
        <w:t>（2）公布在投标截止时间前递交投标文件的投标人名称，并点名确认投标人是否派人到场；</w:t>
      </w:r>
    </w:p>
    <w:p>
      <w:pPr>
        <w:pageBreakBefore w:val="0"/>
        <w:kinsoku/>
        <w:bidi w:val="0"/>
        <w:spacing w:line="360" w:lineRule="auto"/>
        <w:ind w:left="849" w:leftChars="200" w:hanging="369" w:hangingChars="154"/>
        <w:textAlignment w:val="auto"/>
      </w:pPr>
      <w:r>
        <w:rPr>
          <w:rFonts w:hint="eastAsia"/>
        </w:rPr>
        <w:t>（3）宣布开标人、唱标人、记录人、监标人等有关人员姓名；</w:t>
      </w:r>
    </w:p>
    <w:p>
      <w:pPr>
        <w:pageBreakBefore w:val="0"/>
        <w:kinsoku/>
        <w:bidi w:val="0"/>
        <w:spacing w:line="360" w:lineRule="auto"/>
        <w:ind w:left="849" w:leftChars="200" w:hanging="369" w:hangingChars="154"/>
        <w:textAlignment w:val="auto"/>
      </w:pPr>
      <w:r>
        <w:rPr>
          <w:rFonts w:hint="eastAsia"/>
        </w:rPr>
        <w:t>（4）按照投标人递交投标文件的顺序检查投标文件的密封情况；</w:t>
      </w:r>
    </w:p>
    <w:p>
      <w:pPr>
        <w:pageBreakBefore w:val="0"/>
        <w:kinsoku/>
        <w:bidi w:val="0"/>
        <w:spacing w:line="360" w:lineRule="auto"/>
        <w:ind w:left="849" w:leftChars="200" w:hanging="369" w:hangingChars="154"/>
        <w:textAlignment w:val="auto"/>
      </w:pPr>
      <w:r>
        <w:rPr>
          <w:rFonts w:hint="eastAsia"/>
        </w:rPr>
        <w:t>（5）按照投标人递交投标文件的</w:t>
      </w:r>
      <w:r>
        <w:rPr>
          <w:rFonts w:hint="eastAsia"/>
          <w:lang w:val="en-US" w:eastAsia="zh-CN"/>
        </w:rPr>
        <w:t>逆</w:t>
      </w:r>
      <w:r>
        <w:rPr>
          <w:rFonts w:hint="eastAsia"/>
        </w:rPr>
        <w:t>顺序当众开标，公布投标人名称、内容、修改和撤回投标的通知、投标保证金的递交情况以及釆购人认为合适的其他内容，并记录在案；</w:t>
      </w:r>
    </w:p>
    <w:p>
      <w:pPr>
        <w:pageBreakBefore w:val="0"/>
        <w:kinsoku/>
        <w:bidi w:val="0"/>
        <w:spacing w:line="360" w:lineRule="auto"/>
        <w:ind w:left="849" w:leftChars="200" w:hanging="369" w:hangingChars="154"/>
        <w:textAlignment w:val="auto"/>
      </w:pPr>
      <w:r>
        <w:rPr>
          <w:rFonts w:hint="eastAsia"/>
        </w:rPr>
        <w:t>（6）投标人代表、采购人代表、监标人、记录人等有关人员在开标记录上签字确认；</w:t>
      </w:r>
    </w:p>
    <w:p>
      <w:pPr>
        <w:pageBreakBefore w:val="0"/>
        <w:kinsoku/>
        <w:bidi w:val="0"/>
        <w:spacing w:line="360" w:lineRule="auto"/>
        <w:ind w:left="849" w:leftChars="200" w:hanging="369" w:hangingChars="154"/>
        <w:textAlignment w:val="auto"/>
        <w:rPr>
          <w:rFonts w:hint="eastAsia"/>
        </w:rPr>
      </w:pPr>
      <w:r>
        <w:rPr>
          <w:rFonts w:hint="eastAsia"/>
        </w:rPr>
        <w:t>（7）开标结束。</w:t>
      </w:r>
      <w:bookmarkStart w:id="44" w:name="_Toc437271261"/>
    </w:p>
    <w:p>
      <w:pPr>
        <w:pageBreakBefore w:val="0"/>
        <w:kinsoku/>
        <w:bidi w:val="0"/>
        <w:spacing w:line="360" w:lineRule="auto"/>
        <w:ind w:left="849" w:leftChars="200" w:hanging="369" w:hangingChars="154"/>
        <w:textAlignment w:val="auto"/>
        <w:rPr>
          <w:rFonts w:hint="eastAsia"/>
        </w:rPr>
      </w:pPr>
      <w:r>
        <w:rPr>
          <w:rFonts w:hint="eastAsia"/>
          <w:lang w:val="en-US" w:eastAsia="zh-CN"/>
        </w:rPr>
        <w:t>6.</w:t>
      </w:r>
      <w:r>
        <w:rPr>
          <w:rFonts w:hint="eastAsia"/>
        </w:rPr>
        <w:t>评审</w:t>
      </w:r>
      <w:bookmarkEnd w:id="44"/>
      <w:bookmarkStart w:id="45" w:name="_Toc437271262"/>
    </w:p>
    <w:p>
      <w:pPr>
        <w:pageBreakBefore w:val="0"/>
        <w:kinsoku/>
        <w:bidi w:val="0"/>
        <w:spacing w:line="360" w:lineRule="auto"/>
        <w:ind w:left="849" w:leftChars="200" w:hanging="369" w:hangingChars="154"/>
        <w:textAlignment w:val="auto"/>
        <w:rPr>
          <w:rFonts w:hint="eastAsia"/>
        </w:rPr>
      </w:pPr>
      <w:r>
        <w:rPr>
          <w:rFonts w:hint="eastAsia"/>
          <w:lang w:val="en-US" w:eastAsia="zh-CN"/>
        </w:rPr>
        <w:t>6.1</w:t>
      </w:r>
      <w:r>
        <w:rPr>
          <w:rFonts w:hint="eastAsia"/>
        </w:rPr>
        <w:t>评审小组</w:t>
      </w:r>
      <w:bookmarkEnd w:id="45"/>
    </w:p>
    <w:p>
      <w:pPr>
        <w:pageBreakBefore w:val="0"/>
        <w:kinsoku/>
        <w:bidi w:val="0"/>
        <w:spacing w:line="360" w:lineRule="auto"/>
        <w:ind w:left="480" w:leftChars="200" w:firstLine="419" w:firstLineChars="0"/>
        <w:textAlignment w:val="auto"/>
        <w:rPr>
          <w:rFonts w:hint="eastAsia"/>
        </w:rPr>
      </w:pPr>
      <w:r>
        <w:rPr>
          <w:rFonts w:hint="eastAsia"/>
          <w:lang w:val="en-US" w:eastAsia="zh-CN"/>
        </w:rPr>
        <w:t>6.1.1</w:t>
      </w:r>
      <w:r>
        <w:rPr>
          <w:rFonts w:hint="eastAsia"/>
        </w:rPr>
        <w:t>评审由采购人依法组建的评审小组负责。评审小组成员人数以及专家的确定方式见投标人须知前附表。</w:t>
      </w:r>
    </w:p>
    <w:p>
      <w:pPr>
        <w:pageBreakBefore w:val="0"/>
        <w:kinsoku/>
        <w:bidi w:val="0"/>
        <w:spacing w:line="360" w:lineRule="auto"/>
        <w:ind w:left="480" w:leftChars="200" w:firstLine="419" w:firstLineChars="0"/>
        <w:jc w:val="left"/>
        <w:textAlignment w:val="auto"/>
        <w:rPr>
          <w:rFonts w:hint="eastAsia"/>
        </w:rPr>
      </w:pPr>
      <w:r>
        <w:rPr>
          <w:rFonts w:hint="eastAsia"/>
          <w:lang w:val="en-US" w:eastAsia="zh-CN"/>
        </w:rPr>
        <w:t>6.1.2</w:t>
      </w:r>
      <w:r>
        <w:rPr>
          <w:rFonts w:hint="eastAsia"/>
        </w:rPr>
        <w:t>评审小组由采购人代表和评审专家共</w:t>
      </w:r>
      <w:r>
        <w:rPr>
          <w:rFonts w:hint="eastAsia"/>
          <w:lang w:val="en-US" w:eastAsia="zh-CN"/>
        </w:rPr>
        <w:t>7</w:t>
      </w:r>
      <w:r>
        <w:rPr>
          <w:rFonts w:hint="eastAsia"/>
        </w:rPr>
        <w:t>人组成，其中评审专家人数不得少于评审小组成员总数的2/3。评审专家可以由采购人自行选定，但评审专家中至少应当包含1名财务专家和1名法律专家。项目实施机构代表不得以评审专家身份参加项目的评审</w:t>
      </w:r>
      <w:bookmarkStart w:id="46" w:name="_Toc437271263"/>
      <w:r>
        <w:rPr>
          <w:rFonts w:hint="eastAsia"/>
          <w:lang w:eastAsia="zh-CN"/>
        </w:rPr>
        <w:t>。</w:t>
      </w:r>
    </w:p>
    <w:p>
      <w:pPr>
        <w:pageBreakBefore w:val="0"/>
        <w:kinsoku/>
        <w:bidi w:val="0"/>
        <w:spacing w:line="360" w:lineRule="auto"/>
        <w:ind w:left="849" w:leftChars="200" w:hanging="369" w:hangingChars="154"/>
        <w:jc w:val="left"/>
        <w:textAlignment w:val="auto"/>
      </w:pPr>
      <w:r>
        <w:rPr>
          <w:rFonts w:hint="eastAsia"/>
          <w:lang w:val="en-US" w:eastAsia="zh-CN"/>
        </w:rPr>
        <w:t>6.2</w:t>
      </w:r>
      <w:r>
        <w:rPr>
          <w:rFonts w:hint="eastAsia"/>
        </w:rPr>
        <w:t>评审原则</w:t>
      </w:r>
      <w:bookmarkEnd w:id="46"/>
    </w:p>
    <w:p>
      <w:pPr>
        <w:keepLines/>
        <w:pageBreakBefore w:val="0"/>
        <w:kinsoku/>
        <w:bidi w:val="0"/>
        <w:spacing w:line="360" w:lineRule="auto"/>
        <w:ind w:firstLine="480"/>
        <w:textAlignment w:val="auto"/>
        <w:rPr>
          <w:rFonts w:hint="eastAsia"/>
        </w:rPr>
      </w:pPr>
      <w:r>
        <w:rPr>
          <w:rFonts w:hint="eastAsia"/>
        </w:rPr>
        <w:t>评审小组成员应当按照客观、公正、审慎的原则，根据资格预审文件和采购文件规定的评审程序、评审方法和评审标准进行独立评审。</w:t>
      </w:r>
      <w:bookmarkStart w:id="47" w:name="_Toc437271264"/>
    </w:p>
    <w:p>
      <w:pPr>
        <w:keepLines/>
        <w:pageBreakBefore w:val="0"/>
        <w:kinsoku/>
        <w:bidi w:val="0"/>
        <w:spacing w:line="360" w:lineRule="auto"/>
        <w:ind w:firstLine="480"/>
        <w:textAlignment w:val="auto"/>
        <w:rPr>
          <w:rFonts w:hint="eastAsia"/>
        </w:rPr>
      </w:pPr>
      <w:r>
        <w:rPr>
          <w:rFonts w:hint="eastAsia"/>
          <w:lang w:val="en-US" w:eastAsia="zh-CN"/>
        </w:rPr>
        <w:t>6.3</w:t>
      </w:r>
      <w:r>
        <w:rPr>
          <w:rFonts w:hint="eastAsia"/>
        </w:rPr>
        <w:t>评审</w:t>
      </w:r>
      <w:bookmarkEnd w:id="47"/>
    </w:p>
    <w:p>
      <w:pPr>
        <w:keepLines/>
        <w:pageBreakBefore w:val="0"/>
        <w:kinsoku/>
        <w:bidi w:val="0"/>
        <w:spacing w:line="360" w:lineRule="auto"/>
        <w:ind w:firstLine="897" w:firstLineChars="374"/>
        <w:textAlignment w:val="auto"/>
        <w:rPr>
          <w:rFonts w:hint="eastAsia"/>
        </w:rPr>
      </w:pPr>
      <w:r>
        <w:rPr>
          <w:rFonts w:hint="eastAsia"/>
          <w:lang w:val="en-US" w:eastAsia="zh-CN"/>
        </w:rPr>
        <w:t>6.3.1</w:t>
      </w:r>
      <w:r>
        <w:rPr>
          <w:rFonts w:hint="eastAsia"/>
        </w:rPr>
        <w:t>投标人须知前附表规定允许未参加资格预审的投标人参与竞争并进行资格后审的，评审小组需按照资格预审文件要求对投标人进行资格后审。</w:t>
      </w:r>
    </w:p>
    <w:p>
      <w:pPr>
        <w:keepLines/>
        <w:pageBreakBefore w:val="0"/>
        <w:kinsoku/>
        <w:bidi w:val="0"/>
        <w:spacing w:line="360" w:lineRule="auto"/>
        <w:textAlignment w:val="auto"/>
        <w:rPr>
          <w:rFonts w:hint="eastAsia"/>
        </w:rPr>
      </w:pPr>
      <w:r>
        <w:rPr>
          <w:rFonts w:hint="eastAsia"/>
          <w:lang w:val="en-US" w:eastAsia="zh-CN"/>
        </w:rPr>
        <w:t>6.3.2</w:t>
      </w:r>
      <w:r>
        <w:rPr>
          <w:rFonts w:hint="eastAsia"/>
        </w:rPr>
        <w:t>评审小组按照第三章“评审方法”规定的程序、方法和标准对投标文件进行独立评审。第三章“评审方法”没有规定的方法、评审因素和标准，不作为评审依据。</w:t>
      </w:r>
    </w:p>
    <w:p>
      <w:pPr>
        <w:keepLines/>
        <w:pageBreakBefore w:val="0"/>
        <w:kinsoku/>
        <w:bidi w:val="0"/>
        <w:spacing w:line="360" w:lineRule="auto"/>
        <w:textAlignment w:val="auto"/>
        <w:rPr>
          <w:rFonts w:hint="eastAsia"/>
        </w:rPr>
      </w:pPr>
      <w:r>
        <w:rPr>
          <w:rFonts w:hint="eastAsia"/>
          <w:lang w:val="en-US" w:eastAsia="zh-CN"/>
        </w:rPr>
        <w:t>6.3.3</w:t>
      </w:r>
      <w:r>
        <w:rPr>
          <w:rFonts w:hint="eastAsia"/>
        </w:rPr>
        <w:t>评审小组向采购人提交评审报告并推荐候选投标人排名，评审小组推荐候选投标人排名的人数见投标人须知前附表。</w:t>
      </w:r>
    </w:p>
    <w:p>
      <w:pPr>
        <w:keepLines/>
        <w:pageBreakBefore w:val="0"/>
        <w:kinsoku/>
        <w:bidi w:val="0"/>
        <w:spacing w:line="360" w:lineRule="auto"/>
        <w:textAlignment w:val="auto"/>
        <w:rPr>
          <w:rFonts w:hint="eastAsia"/>
        </w:rPr>
      </w:pPr>
      <w:r>
        <w:rPr>
          <w:rFonts w:hint="eastAsia"/>
          <w:lang w:val="en-US" w:eastAsia="zh-CN"/>
        </w:rPr>
        <w:t>6.3.4</w:t>
      </w:r>
      <w:r>
        <w:rPr>
          <w:rFonts w:hint="eastAsia"/>
        </w:rPr>
        <w:t>评审小组成员应当在评审报告上签字，对自己的评审意见承担法律责任。对评审报告有异议的，应当在报告上签署不同意见，并说明理由，否则视为同意评审报告。</w:t>
      </w:r>
    </w:p>
    <w:p>
      <w:pPr>
        <w:keepLines/>
        <w:pageBreakBefore w:val="0"/>
        <w:kinsoku/>
        <w:bidi w:val="0"/>
        <w:spacing w:line="360" w:lineRule="auto"/>
        <w:textAlignment w:val="auto"/>
        <w:rPr>
          <w:rFonts w:hint="eastAsia"/>
        </w:rPr>
      </w:pPr>
      <w:r>
        <w:rPr>
          <w:rFonts w:hint="eastAsia"/>
          <w:lang w:val="en-US" w:eastAsia="zh-CN"/>
        </w:rPr>
        <w:t>6.3.5</w:t>
      </w:r>
      <w:r>
        <w:rPr>
          <w:rFonts w:hint="eastAsia"/>
        </w:rPr>
        <w:t>评审小组发现采购文件内容违反国家有关强制性规定的，应当停止评审并向项目实施机构说明情况。</w:t>
      </w:r>
      <w:bookmarkStart w:id="48" w:name="_Toc437271265"/>
    </w:p>
    <w:p>
      <w:pPr>
        <w:keepLines/>
        <w:pageBreakBefore w:val="0"/>
        <w:numPr>
          <w:ilvl w:val="0"/>
          <w:numId w:val="0"/>
        </w:numPr>
        <w:kinsoku/>
        <w:bidi w:val="0"/>
        <w:spacing w:line="360" w:lineRule="auto"/>
        <w:ind w:leftChars="0"/>
        <w:textAlignment w:val="auto"/>
        <w:rPr>
          <w:rFonts w:hint="eastAsia"/>
        </w:rPr>
      </w:pPr>
      <w:r>
        <w:rPr>
          <w:rFonts w:hint="eastAsia"/>
          <w:lang w:val="en-US" w:eastAsia="zh-CN"/>
        </w:rPr>
        <w:t>7.</w:t>
      </w:r>
      <w:r>
        <w:rPr>
          <w:rFonts w:hint="eastAsia"/>
        </w:rPr>
        <w:t>合同授予</w:t>
      </w:r>
      <w:bookmarkEnd w:id="48"/>
      <w:bookmarkStart w:id="49" w:name="_Toc437271266"/>
    </w:p>
    <w:p>
      <w:pPr>
        <w:keepLines/>
        <w:pageBreakBefore w:val="0"/>
        <w:numPr>
          <w:ilvl w:val="0"/>
          <w:numId w:val="0"/>
        </w:numPr>
        <w:kinsoku/>
        <w:bidi w:val="0"/>
        <w:spacing w:line="360" w:lineRule="auto"/>
        <w:ind w:leftChars="0"/>
        <w:textAlignment w:val="auto"/>
        <w:rPr>
          <w:rFonts w:hint="eastAsia"/>
        </w:rPr>
      </w:pPr>
      <w:r>
        <w:rPr>
          <w:rFonts w:hint="eastAsia"/>
          <w:lang w:val="en-US" w:eastAsia="zh-CN"/>
        </w:rPr>
        <w:t>7.1</w:t>
      </w:r>
      <w:r>
        <w:rPr>
          <w:rFonts w:hint="eastAsia"/>
        </w:rPr>
        <w:t>定标方式</w:t>
      </w:r>
      <w:bookmarkEnd w:id="49"/>
    </w:p>
    <w:p>
      <w:pPr>
        <w:keepLines/>
        <w:pageBreakBefore w:val="0"/>
        <w:numPr>
          <w:ilvl w:val="0"/>
          <w:numId w:val="0"/>
        </w:numPr>
        <w:kinsoku/>
        <w:bidi w:val="0"/>
        <w:spacing w:line="360" w:lineRule="auto"/>
        <w:ind w:leftChars="0" w:firstLine="420" w:firstLineChars="0"/>
        <w:textAlignment w:val="auto"/>
        <w:rPr>
          <w:rFonts w:hint="eastAsia"/>
        </w:rPr>
      </w:pPr>
      <w:r>
        <w:rPr>
          <w:rFonts w:hint="eastAsia"/>
          <w:lang w:val="en-US" w:eastAsia="zh-CN"/>
        </w:rPr>
        <w:t>7.1.1</w:t>
      </w:r>
      <w:r>
        <w:rPr>
          <w:rFonts w:hint="eastAsia"/>
        </w:rPr>
        <w:t>PPP项目采购评审结束后，采购人应当成立专门的采购结果确认谈判工作组，负责采购结果确认前的谈判和最终的采购结果确认工作。</w:t>
      </w:r>
    </w:p>
    <w:p>
      <w:pPr>
        <w:keepLines/>
        <w:pageBreakBefore w:val="0"/>
        <w:numPr>
          <w:ilvl w:val="0"/>
          <w:numId w:val="0"/>
        </w:numPr>
        <w:kinsoku/>
        <w:bidi w:val="0"/>
        <w:spacing w:line="360" w:lineRule="auto"/>
        <w:ind w:leftChars="0" w:firstLine="420" w:firstLineChars="0"/>
        <w:textAlignment w:val="auto"/>
        <w:rPr>
          <w:rFonts w:hint="eastAsia"/>
        </w:rPr>
      </w:pPr>
      <w:r>
        <w:rPr>
          <w:rFonts w:hint="eastAsia"/>
          <w:lang w:val="en-US" w:eastAsia="zh-CN"/>
        </w:rPr>
        <w:t>7.1.2</w:t>
      </w:r>
      <w:r>
        <w:rPr>
          <w:rFonts w:hint="eastAsia"/>
        </w:rPr>
        <w:t>采购结果确认谈判工作组成员及数量由采购人确定，但应当至少包括财政预算管理部门、行业主管部门代表，以及财务、法律等方面的专家。评审小组成员可以作为采购结果确认谈判工作组成员参与采购结果确认谈判。</w:t>
      </w:r>
    </w:p>
    <w:p>
      <w:pPr>
        <w:keepLines/>
        <w:pageBreakBefore w:val="0"/>
        <w:numPr>
          <w:ilvl w:val="0"/>
          <w:numId w:val="0"/>
        </w:numPr>
        <w:kinsoku/>
        <w:bidi w:val="0"/>
        <w:spacing w:line="360" w:lineRule="auto"/>
        <w:ind w:leftChars="0" w:firstLine="420" w:firstLineChars="0"/>
        <w:textAlignment w:val="auto"/>
        <w:rPr>
          <w:rFonts w:hint="eastAsia"/>
        </w:rPr>
      </w:pPr>
      <w:r>
        <w:rPr>
          <w:rFonts w:hint="eastAsia"/>
          <w:lang w:val="en-US" w:eastAsia="zh-CN"/>
        </w:rPr>
        <w:t>7.1.3</w:t>
      </w:r>
      <w:r>
        <w:rPr>
          <w:rFonts w:hint="eastAsia"/>
        </w:rPr>
        <w:t>采购结果确认谈判工作组应当按照评审报告推荐的候选投标人排名，依次与候选投标人及其合作的金融机构就项目合同中可变的细节问题进行项目合同签署前的确认谈判，率先达成一致的候选投标人即为预中标投标人。</w:t>
      </w:r>
    </w:p>
    <w:p>
      <w:pPr>
        <w:keepLines/>
        <w:pageBreakBefore w:val="0"/>
        <w:numPr>
          <w:ilvl w:val="0"/>
          <w:numId w:val="0"/>
        </w:numPr>
        <w:kinsoku/>
        <w:bidi w:val="0"/>
        <w:spacing w:line="360" w:lineRule="auto"/>
        <w:ind w:leftChars="0" w:firstLine="420" w:firstLineChars="0"/>
        <w:textAlignment w:val="auto"/>
        <w:rPr>
          <w:rFonts w:hint="eastAsia"/>
        </w:rPr>
      </w:pPr>
      <w:r>
        <w:rPr>
          <w:rFonts w:hint="eastAsia"/>
          <w:lang w:val="en-US" w:eastAsia="zh-CN"/>
        </w:rPr>
        <w:t>7.1.4</w:t>
      </w:r>
      <w:r>
        <w:rPr>
          <w:rFonts w:hint="eastAsia"/>
        </w:rPr>
        <w:t>确认谈判不得涉及项目合同中不可谈判的核心条款，不得与排序在前但已终止谈判的候选投标人进行重复谈判。</w:t>
      </w:r>
    </w:p>
    <w:p>
      <w:pPr>
        <w:keepLines/>
        <w:pageBreakBefore w:val="0"/>
        <w:numPr>
          <w:ilvl w:val="0"/>
          <w:numId w:val="0"/>
        </w:numPr>
        <w:kinsoku/>
        <w:bidi w:val="0"/>
        <w:spacing w:line="360" w:lineRule="auto"/>
        <w:ind w:leftChars="0" w:firstLine="420" w:firstLineChars="0"/>
        <w:textAlignment w:val="auto"/>
        <w:rPr>
          <w:rFonts w:hint="eastAsia"/>
        </w:rPr>
      </w:pPr>
      <w:r>
        <w:rPr>
          <w:rFonts w:hint="eastAsia"/>
          <w:lang w:val="en-US" w:eastAsia="zh-CN"/>
        </w:rPr>
        <w:t>7.1.5</w:t>
      </w:r>
      <w:r>
        <w:rPr>
          <w:rFonts w:hint="eastAsia"/>
        </w:rPr>
        <w:t>如中标候选人在投标文件中未对项目合同中可变的细节问题提出偏差性意见，则确认谈判工作可省略，采购人可依据第</w:t>
      </w:r>
      <w:r>
        <w:fldChar w:fldCharType="begin"/>
      </w:r>
      <w:r>
        <w:instrText xml:space="preserve"> </w:instrText>
      </w:r>
      <w:r>
        <w:rPr>
          <w:rFonts w:hint="eastAsia"/>
        </w:rPr>
        <w:instrText xml:space="preserve">REF _Ref435798909 \r \h</w:instrText>
      </w:r>
      <w:r>
        <w:instrText xml:space="preserve"> </w:instrText>
      </w:r>
      <w:r>
        <w:fldChar w:fldCharType="separate"/>
      </w:r>
      <w:r>
        <w:t>7.1.6</w:t>
      </w:r>
      <w:r>
        <w:fldChar w:fldCharType="end"/>
      </w:r>
      <w:r>
        <w:rPr>
          <w:rFonts w:hint="eastAsia"/>
        </w:rPr>
        <w:t>条款进行下阶段工作。</w:t>
      </w:r>
      <w:bookmarkStart w:id="50" w:name="_Ref435798909"/>
    </w:p>
    <w:p>
      <w:pPr>
        <w:keepLines/>
        <w:pageBreakBefore w:val="0"/>
        <w:numPr>
          <w:ilvl w:val="0"/>
          <w:numId w:val="0"/>
        </w:numPr>
        <w:kinsoku/>
        <w:bidi w:val="0"/>
        <w:spacing w:line="360" w:lineRule="auto"/>
        <w:ind w:leftChars="0" w:firstLine="420" w:firstLineChars="0"/>
        <w:textAlignment w:val="auto"/>
        <w:rPr>
          <w:rFonts w:hint="eastAsia"/>
        </w:rPr>
      </w:pPr>
      <w:r>
        <w:rPr>
          <w:rFonts w:hint="eastAsia"/>
          <w:lang w:val="en-US" w:eastAsia="zh-CN"/>
        </w:rPr>
        <w:t>7.1.6</w:t>
      </w:r>
      <w:r>
        <w:rPr>
          <w:rFonts w:hint="eastAsia"/>
        </w:rPr>
        <w:t>采购人应当在预中标、成交投标人确定后10个工作日内，与预中标、成交投标人签署确认谈判备忘录，并将预中标、成交结果和根据采购文件、响应文件及有关补遗文件和确认谈判备忘录拟定的项目合同文本在省级以上人民政府财政部门指定的政府采购信息发布媒体上进行公示，公示期不得少于5个工作日。项目合同文本应当将预中标、成交投标人响应文件中的重要承诺和技术文件等作为附件。项目合同文本涉及国家秘密、商业秘密的内容可以不公示。</w:t>
      </w:r>
      <w:bookmarkEnd w:id="50"/>
      <w:bookmarkStart w:id="51" w:name="_Toc437271267"/>
    </w:p>
    <w:p>
      <w:pPr>
        <w:keepLines/>
        <w:pageBreakBefore w:val="0"/>
        <w:numPr>
          <w:ilvl w:val="0"/>
          <w:numId w:val="0"/>
        </w:numPr>
        <w:kinsoku/>
        <w:bidi w:val="0"/>
        <w:spacing w:line="360" w:lineRule="auto"/>
        <w:textAlignment w:val="auto"/>
      </w:pPr>
      <w:r>
        <w:rPr>
          <w:rFonts w:hint="eastAsia"/>
          <w:lang w:val="en-US" w:eastAsia="zh-CN"/>
        </w:rPr>
        <w:t>7.2</w:t>
      </w:r>
      <w:r>
        <w:rPr>
          <w:rFonts w:hint="eastAsia"/>
        </w:rPr>
        <w:t>中标通知</w:t>
      </w:r>
      <w:bookmarkEnd w:id="51"/>
    </w:p>
    <w:p>
      <w:pPr>
        <w:pageBreakBefore w:val="0"/>
        <w:kinsoku/>
        <w:bidi w:val="0"/>
        <w:spacing w:line="360" w:lineRule="auto"/>
        <w:ind w:firstLine="480"/>
        <w:textAlignment w:val="auto"/>
        <w:rPr>
          <w:rFonts w:hint="eastAsia"/>
        </w:rPr>
      </w:pPr>
      <w:r>
        <w:rPr>
          <w:rFonts w:hint="eastAsia"/>
        </w:rPr>
        <w:t>采购人在公示期满无异议后2个工作日内，将中标、成交结果</w:t>
      </w:r>
      <w:r>
        <w:rPr>
          <w:rFonts w:hint="eastAsia"/>
          <w:lang w:val="en-US" w:eastAsia="zh-CN"/>
        </w:rPr>
        <w:t>在《河南省政府采购网》、《郑州市政府采购网》、《登封市政府采购网》、《中国招标采购网》、《河南招标采购综合网》</w:t>
      </w:r>
      <w:r>
        <w:rPr>
          <w:rFonts w:hint="eastAsia"/>
        </w:rPr>
        <w:t>上进行公</w:t>
      </w:r>
      <w:r>
        <w:rPr>
          <w:rFonts w:hint="eastAsia"/>
          <w:lang w:val="en-US" w:eastAsia="zh-CN"/>
        </w:rPr>
        <w:t>示，如无第三人提出有效异议</w:t>
      </w:r>
      <w:r>
        <w:rPr>
          <w:rFonts w:hint="eastAsia"/>
        </w:rPr>
        <w:t>，</w:t>
      </w:r>
      <w:r>
        <w:rPr>
          <w:rFonts w:hint="eastAsia"/>
          <w:lang w:val="en-US" w:eastAsia="zh-CN"/>
        </w:rPr>
        <w:t>采购人将向中标人发出</w:t>
      </w:r>
      <w:r>
        <w:rPr>
          <w:rFonts w:hint="eastAsia"/>
        </w:rPr>
        <w:t>中标、</w:t>
      </w:r>
      <w:r>
        <w:t>成交</w:t>
      </w:r>
      <w:r>
        <w:rPr>
          <w:rFonts w:hint="eastAsia"/>
        </w:rPr>
        <w:t>通知书。</w:t>
      </w:r>
      <w:bookmarkStart w:id="52" w:name="_Toc437271268"/>
    </w:p>
    <w:p>
      <w:pPr>
        <w:pageBreakBefore w:val="0"/>
        <w:kinsoku/>
        <w:bidi w:val="0"/>
        <w:spacing w:line="360" w:lineRule="auto"/>
        <w:ind w:left="0" w:leftChars="0" w:firstLine="0" w:firstLineChars="0"/>
        <w:textAlignment w:val="auto"/>
        <w:rPr>
          <w:rFonts w:hint="eastAsia"/>
        </w:rPr>
      </w:pPr>
      <w:r>
        <w:rPr>
          <w:rFonts w:hint="eastAsia"/>
          <w:lang w:val="en-US" w:eastAsia="zh-CN"/>
        </w:rPr>
        <w:t>7.3</w:t>
      </w:r>
      <w:r>
        <w:rPr>
          <w:rFonts w:hint="eastAsia"/>
        </w:rPr>
        <w:t>履约担保</w:t>
      </w:r>
      <w:bookmarkEnd w:id="52"/>
      <w:bookmarkStart w:id="53" w:name="_Ref435798929"/>
    </w:p>
    <w:p>
      <w:pPr>
        <w:pageBreakBefore w:val="0"/>
        <w:kinsoku/>
        <w:bidi w:val="0"/>
        <w:spacing w:line="360" w:lineRule="auto"/>
        <w:ind w:firstLine="480"/>
        <w:textAlignment w:val="auto"/>
        <w:rPr>
          <w:rFonts w:hint="eastAsia"/>
        </w:rPr>
      </w:pPr>
      <w:r>
        <w:rPr>
          <w:rFonts w:hint="eastAsia"/>
          <w:lang w:val="en-US" w:eastAsia="zh-CN"/>
        </w:rPr>
        <w:t>7.3.1</w:t>
      </w:r>
      <w:r>
        <w:rPr>
          <w:rFonts w:hint="eastAsia"/>
        </w:rPr>
        <w:t>在签订合同前，中标、成交投标人应按投标人须知前附表规定的金额、担保形式向采购人提交履约担保。联合体中标的，其履约担保由牵头人递交，并应符合投标人须知前附表规定的金额、担保形式。</w:t>
      </w:r>
      <w:bookmarkEnd w:id="53"/>
    </w:p>
    <w:p>
      <w:pPr>
        <w:pageBreakBefore w:val="0"/>
        <w:kinsoku/>
        <w:bidi w:val="0"/>
        <w:spacing w:line="360" w:lineRule="auto"/>
        <w:ind w:firstLine="480"/>
        <w:textAlignment w:val="auto"/>
        <w:rPr>
          <w:rFonts w:hint="eastAsia"/>
        </w:rPr>
      </w:pPr>
      <w:r>
        <w:rPr>
          <w:rFonts w:hint="eastAsia"/>
          <w:lang w:val="en-US" w:eastAsia="zh-CN"/>
        </w:rPr>
        <w:t>7.3.2</w:t>
      </w:r>
      <w:r>
        <w:rPr>
          <w:rFonts w:hint="eastAsia"/>
        </w:rPr>
        <w:t>中标人不能按本章第</w:t>
      </w:r>
      <w:r>
        <w:fldChar w:fldCharType="begin"/>
      </w:r>
      <w:r>
        <w:instrText xml:space="preserve"> </w:instrText>
      </w:r>
      <w:r>
        <w:rPr>
          <w:rFonts w:hint="eastAsia"/>
        </w:rPr>
        <w:instrText xml:space="preserve">REF _Ref435798929 \r \h</w:instrText>
      </w:r>
      <w:r>
        <w:instrText xml:space="preserve"> </w:instrText>
      </w:r>
      <w:r>
        <w:fldChar w:fldCharType="separate"/>
      </w:r>
      <w:r>
        <w:t>7.3.1</w:t>
      </w:r>
      <w:r>
        <w:fldChar w:fldCharType="end"/>
      </w:r>
      <w:r>
        <w:rPr>
          <w:rFonts w:hint="eastAsia"/>
        </w:rPr>
        <w:t>项要求提交履约担保的，视为放弃中标，其投标保证金不予退还，给采购人造成的损失超过投标保证金数额的，中标人还应当对超过部分予以赔偿。</w:t>
      </w:r>
      <w:bookmarkStart w:id="54" w:name="_Toc437271269"/>
    </w:p>
    <w:p>
      <w:pPr>
        <w:pageBreakBefore w:val="0"/>
        <w:kinsoku/>
        <w:bidi w:val="0"/>
        <w:spacing w:line="360" w:lineRule="auto"/>
        <w:ind w:left="0" w:leftChars="0" w:firstLine="0" w:firstLineChars="0"/>
        <w:textAlignment w:val="auto"/>
        <w:rPr>
          <w:rFonts w:hint="eastAsia"/>
        </w:rPr>
      </w:pPr>
      <w:r>
        <w:rPr>
          <w:rFonts w:hint="eastAsia"/>
          <w:lang w:val="en-US" w:eastAsia="zh-CN"/>
        </w:rPr>
        <w:t>7.4</w:t>
      </w:r>
      <w:r>
        <w:rPr>
          <w:rFonts w:hint="eastAsia"/>
        </w:rPr>
        <w:t>签订合同</w:t>
      </w:r>
      <w:bookmarkEnd w:id="54"/>
    </w:p>
    <w:p>
      <w:pPr>
        <w:pageBreakBefore w:val="0"/>
        <w:kinsoku/>
        <w:bidi w:val="0"/>
        <w:spacing w:line="360" w:lineRule="auto"/>
        <w:ind w:firstLine="480"/>
        <w:textAlignment w:val="auto"/>
        <w:rPr>
          <w:rFonts w:hint="eastAsia"/>
        </w:rPr>
      </w:pPr>
      <w:r>
        <w:rPr>
          <w:rFonts w:hint="eastAsia"/>
          <w:lang w:val="en-US" w:eastAsia="zh-CN"/>
        </w:rPr>
        <w:t>7.4.1</w:t>
      </w:r>
      <w:r>
        <w:rPr>
          <w:rFonts w:hint="eastAsia"/>
        </w:rPr>
        <w:t>项目合同必须报请本级人民政府审核同意，在获得同意前项目合同不得生效。</w:t>
      </w:r>
    </w:p>
    <w:p>
      <w:pPr>
        <w:pageBreakBefore w:val="0"/>
        <w:kinsoku/>
        <w:bidi w:val="0"/>
        <w:spacing w:line="360" w:lineRule="auto"/>
        <w:ind w:firstLine="480"/>
        <w:textAlignment w:val="auto"/>
        <w:rPr>
          <w:rFonts w:hint="eastAsia"/>
          <w:lang w:val="en-US" w:eastAsia="zh-CN"/>
        </w:rPr>
      </w:pPr>
      <w:r>
        <w:rPr>
          <w:rFonts w:hint="eastAsia"/>
          <w:lang w:val="en-US" w:eastAsia="zh-CN"/>
        </w:rPr>
        <w:t>7.4.2</w:t>
      </w:r>
      <w:r>
        <w:rPr>
          <w:rFonts w:hint="eastAsia"/>
        </w:rPr>
        <w:t>采购人应当在中标通知书发出后30日内，与中标人签订经本级人民政府审核同意</w:t>
      </w:r>
      <w:r>
        <w:rPr>
          <w:rFonts w:hint="eastAsia"/>
          <w:lang w:val="en-US" w:eastAsia="zh-CN"/>
        </w:rPr>
        <w:t>的投资协议</w:t>
      </w:r>
      <w:r>
        <w:rPr>
          <w:rFonts w:hint="eastAsia"/>
        </w:rPr>
        <w:t>。</w:t>
      </w:r>
      <w:r>
        <w:rPr>
          <w:rFonts w:hint="eastAsia"/>
          <w:lang w:val="en-US" w:eastAsia="zh-CN"/>
        </w:rPr>
        <w:t>项目合同文本应当将预中标、成交社会资本响应文件中的重要承诺和技术文件等作为附件。</w:t>
      </w:r>
    </w:p>
    <w:p>
      <w:pPr>
        <w:pageBreakBefore w:val="0"/>
        <w:kinsoku/>
        <w:bidi w:val="0"/>
        <w:spacing w:line="360" w:lineRule="auto"/>
        <w:ind w:firstLine="480"/>
        <w:textAlignment w:val="auto"/>
        <w:rPr>
          <w:rFonts w:hint="eastAsia"/>
        </w:rPr>
      </w:pPr>
      <w:r>
        <w:rPr>
          <w:rFonts w:hint="eastAsia"/>
        </w:rPr>
        <w:t>待项目公司成立后，</w:t>
      </w:r>
      <w:r>
        <w:rPr>
          <w:rFonts w:hint="eastAsia"/>
          <w:lang w:val="en-US" w:eastAsia="zh-CN"/>
        </w:rPr>
        <w:t>由项目公司与实施机构签署PPP项目合同。</w:t>
      </w:r>
    </w:p>
    <w:p>
      <w:pPr>
        <w:pageBreakBefore w:val="0"/>
        <w:kinsoku/>
        <w:bidi w:val="0"/>
        <w:spacing w:line="360" w:lineRule="auto"/>
        <w:ind w:firstLine="480"/>
        <w:textAlignment w:val="auto"/>
        <w:rPr>
          <w:rFonts w:hint="eastAsia"/>
        </w:rPr>
      </w:pPr>
      <w:r>
        <w:rPr>
          <w:rFonts w:hint="eastAsia"/>
          <w:lang w:val="en-US" w:eastAsia="zh-CN"/>
        </w:rPr>
        <w:t>7.4.3</w:t>
      </w:r>
      <w:r>
        <w:rPr>
          <w:rFonts w:hint="eastAsia"/>
        </w:rPr>
        <w:t>采购人应当在PPP项目合同签订之日起2个工作日内，将PPP项目合同在省级以上人民政府财政部门指定的政府采购信息发布媒体上公告，但PPP项目合同中涉及国家秘密、商业秘密的内容除外。</w:t>
      </w:r>
    </w:p>
    <w:p>
      <w:pPr>
        <w:pageBreakBefore w:val="0"/>
        <w:kinsoku/>
        <w:bidi w:val="0"/>
        <w:spacing w:line="360" w:lineRule="auto"/>
        <w:ind w:firstLine="480"/>
        <w:textAlignment w:val="auto"/>
        <w:rPr>
          <w:rFonts w:hint="eastAsia"/>
        </w:rPr>
      </w:pPr>
      <w:r>
        <w:rPr>
          <w:rFonts w:hint="eastAsia"/>
          <w:lang w:val="en-US" w:eastAsia="zh-CN"/>
        </w:rPr>
        <w:t>7.4.4</w:t>
      </w:r>
      <w:r>
        <w:rPr>
          <w:rFonts w:hint="eastAsia"/>
        </w:rPr>
        <w:t>中标人无正当理由拒签合同的，采购人取消其中标资格，其投标保证金不予退还，给采购人造成的损失超过投标保证金数额的，中标人还应当对超过部分予以赔偿。</w:t>
      </w:r>
    </w:p>
    <w:p>
      <w:pPr>
        <w:pageBreakBefore w:val="0"/>
        <w:kinsoku/>
        <w:bidi w:val="0"/>
        <w:spacing w:line="360" w:lineRule="auto"/>
        <w:ind w:firstLine="480"/>
        <w:textAlignment w:val="auto"/>
        <w:rPr>
          <w:rFonts w:hint="eastAsia"/>
        </w:rPr>
      </w:pPr>
      <w:r>
        <w:rPr>
          <w:rFonts w:hint="eastAsia"/>
          <w:lang w:val="en-US" w:eastAsia="zh-CN"/>
        </w:rPr>
        <w:t>7.4.5</w:t>
      </w:r>
      <w:r>
        <w:rPr>
          <w:rFonts w:hint="eastAsia"/>
        </w:rPr>
        <w:t>发出中标通知书后，采购人无正当理由拒签合同的，采购人向中标人退还投标保证金；给中标人造成损失的，还应当赔偿损失。</w:t>
      </w:r>
      <w:bookmarkStart w:id="55" w:name="_Toc437271270"/>
    </w:p>
    <w:p>
      <w:pPr>
        <w:pageBreakBefore w:val="0"/>
        <w:kinsoku/>
        <w:bidi w:val="0"/>
        <w:spacing w:line="360" w:lineRule="auto"/>
        <w:ind w:left="0" w:leftChars="0" w:firstLine="0" w:firstLineChars="0"/>
        <w:textAlignment w:val="auto"/>
      </w:pPr>
      <w:r>
        <w:rPr>
          <w:rFonts w:hint="eastAsia"/>
          <w:lang w:val="en-US" w:eastAsia="zh-CN"/>
        </w:rPr>
        <w:t>8.</w:t>
      </w:r>
      <w:r>
        <w:rPr>
          <w:rFonts w:hint="eastAsia"/>
        </w:rPr>
        <w:t>重新招标</w:t>
      </w:r>
      <w:bookmarkEnd w:id="55"/>
    </w:p>
    <w:p>
      <w:pPr>
        <w:pageBreakBefore w:val="0"/>
        <w:kinsoku/>
        <w:bidi w:val="0"/>
        <w:spacing w:line="360" w:lineRule="auto"/>
        <w:ind w:firstLine="480"/>
        <w:textAlignment w:val="auto"/>
      </w:pPr>
      <w:r>
        <w:rPr>
          <w:rFonts w:hint="eastAsia"/>
        </w:rPr>
        <w:t>有下列情形之一的，采购人将重新招标：</w:t>
      </w:r>
    </w:p>
    <w:p>
      <w:pPr>
        <w:keepLines/>
        <w:pageBreakBefore w:val="0"/>
        <w:kinsoku/>
        <w:bidi w:val="0"/>
        <w:spacing w:line="360" w:lineRule="auto"/>
        <w:ind w:left="849" w:leftChars="200" w:hanging="369" w:hangingChars="154"/>
        <w:textAlignment w:val="auto"/>
      </w:pPr>
      <w:r>
        <w:rPr>
          <w:rFonts w:hint="eastAsia"/>
        </w:rPr>
        <w:t>（1）投标截止时间止，投标人少于3个的；</w:t>
      </w:r>
    </w:p>
    <w:p>
      <w:pPr>
        <w:keepLines/>
        <w:pageBreakBefore w:val="0"/>
        <w:kinsoku/>
        <w:bidi w:val="0"/>
        <w:spacing w:line="360" w:lineRule="auto"/>
        <w:ind w:left="849" w:leftChars="200" w:hanging="369" w:hangingChars="154"/>
        <w:textAlignment w:val="auto"/>
        <w:rPr>
          <w:rFonts w:hint="eastAsia"/>
        </w:rPr>
      </w:pPr>
      <w:r>
        <w:rPr>
          <w:rFonts w:hint="eastAsia"/>
        </w:rPr>
        <w:t>（2）经评审小组评审后否决所有投标的。</w:t>
      </w:r>
      <w:bookmarkStart w:id="56" w:name="_Toc437271271"/>
    </w:p>
    <w:p>
      <w:pPr>
        <w:keepLines/>
        <w:pageBreakBefore w:val="0"/>
        <w:kinsoku/>
        <w:bidi w:val="0"/>
        <w:spacing w:line="360" w:lineRule="auto"/>
        <w:ind w:left="0" w:leftChars="0" w:firstLine="0" w:firstLineChars="0"/>
        <w:textAlignment w:val="auto"/>
        <w:rPr>
          <w:rFonts w:hint="eastAsia"/>
        </w:rPr>
      </w:pPr>
      <w:r>
        <w:rPr>
          <w:rFonts w:hint="eastAsia"/>
          <w:lang w:val="en-US" w:eastAsia="zh-CN"/>
        </w:rPr>
        <w:t>9.</w:t>
      </w:r>
      <w:r>
        <w:rPr>
          <w:rFonts w:hint="eastAsia"/>
        </w:rPr>
        <w:t>纪律和监督</w:t>
      </w:r>
      <w:bookmarkEnd w:id="56"/>
      <w:bookmarkStart w:id="57" w:name="_Toc437271272"/>
    </w:p>
    <w:p>
      <w:pPr>
        <w:keepLines/>
        <w:pageBreakBefore w:val="0"/>
        <w:kinsoku/>
        <w:bidi w:val="0"/>
        <w:spacing w:line="360" w:lineRule="auto"/>
        <w:ind w:left="0" w:leftChars="0" w:firstLine="0" w:firstLineChars="0"/>
        <w:textAlignment w:val="auto"/>
        <w:rPr>
          <w:rFonts w:hint="eastAsia"/>
        </w:rPr>
      </w:pPr>
      <w:r>
        <w:rPr>
          <w:rFonts w:hint="eastAsia"/>
          <w:lang w:val="en-US" w:eastAsia="zh-CN"/>
        </w:rPr>
        <w:t>9.1</w:t>
      </w:r>
      <w:r>
        <w:rPr>
          <w:rFonts w:hint="eastAsia"/>
        </w:rPr>
        <w:t>纪律要求</w:t>
      </w:r>
      <w:bookmarkEnd w:id="57"/>
    </w:p>
    <w:p>
      <w:pPr>
        <w:keepLines/>
        <w:pageBreakBefore w:val="0"/>
        <w:kinsoku/>
        <w:bidi w:val="0"/>
        <w:spacing w:line="360" w:lineRule="auto"/>
        <w:ind w:left="849" w:leftChars="200" w:hanging="369" w:hangingChars="154"/>
        <w:textAlignment w:val="auto"/>
        <w:rPr>
          <w:rFonts w:hint="eastAsia"/>
        </w:rPr>
      </w:pPr>
      <w:r>
        <w:rPr>
          <w:rFonts w:hint="eastAsia"/>
          <w:lang w:val="en-US" w:eastAsia="zh-CN"/>
        </w:rPr>
        <w:t>9.1.1</w:t>
      </w:r>
      <w:r>
        <w:rPr>
          <w:rFonts w:hint="eastAsia"/>
        </w:rPr>
        <w:t>采购人不得泄漏采购活动中应当保密的情诨和资料，不得与投标人串通损害国家利益、社会公共利益或者他人合法权益。</w:t>
      </w:r>
    </w:p>
    <w:p>
      <w:pPr>
        <w:keepLines/>
        <w:pageBreakBefore w:val="0"/>
        <w:kinsoku/>
        <w:bidi w:val="0"/>
        <w:spacing w:line="360" w:lineRule="auto"/>
        <w:ind w:left="849" w:leftChars="200" w:hanging="369" w:hangingChars="154"/>
        <w:textAlignment w:val="auto"/>
        <w:rPr>
          <w:rFonts w:hint="eastAsia"/>
        </w:rPr>
      </w:pPr>
      <w:r>
        <w:rPr>
          <w:rFonts w:hint="eastAsia"/>
          <w:lang w:val="en-US" w:eastAsia="zh-CN"/>
        </w:rPr>
        <w:t>9.1.2</w:t>
      </w:r>
      <w:r>
        <w:rPr>
          <w:rFonts w:hint="eastAsia"/>
        </w:rPr>
        <w:t>投标人不得相互串通投标或者与采购人串通投标，不得向采购人或者评审小组行贿谋取中标，不得以他人名义投标或者以其他方式弄虚作假骗取中标；投标人不得以任何方式干扰、影响评审工作。</w:t>
      </w:r>
    </w:p>
    <w:p>
      <w:pPr>
        <w:keepLines/>
        <w:pageBreakBefore w:val="0"/>
        <w:kinsoku/>
        <w:bidi w:val="0"/>
        <w:spacing w:line="360" w:lineRule="auto"/>
        <w:ind w:left="849" w:leftChars="200" w:hanging="369" w:hangingChars="154"/>
        <w:textAlignment w:val="auto"/>
        <w:rPr>
          <w:rFonts w:hint="eastAsia"/>
        </w:rPr>
      </w:pPr>
      <w:r>
        <w:rPr>
          <w:rFonts w:hint="eastAsia"/>
          <w:lang w:val="en-US" w:eastAsia="zh-CN"/>
        </w:rPr>
        <w:t>9.1.3</w:t>
      </w:r>
      <w:r>
        <w:rPr>
          <w:rFonts w:hint="eastAsia"/>
        </w:rPr>
        <w:t>评审专家应当遵守评审工作纪律、不得泄露评审情况和评审中获悉的国家秘密、商业秘密。</w:t>
      </w:r>
    </w:p>
    <w:p>
      <w:pPr>
        <w:keepLines/>
        <w:pageBreakBefore w:val="0"/>
        <w:kinsoku/>
        <w:bidi w:val="0"/>
        <w:spacing w:line="360" w:lineRule="auto"/>
        <w:ind w:left="849" w:leftChars="200" w:hanging="369" w:hangingChars="154"/>
        <w:textAlignment w:val="auto"/>
        <w:rPr>
          <w:rFonts w:hint="eastAsia"/>
        </w:rPr>
      </w:pPr>
      <w:r>
        <w:rPr>
          <w:rFonts w:hint="eastAsia"/>
          <w:lang w:val="en-US" w:eastAsia="zh-CN"/>
        </w:rPr>
        <w:t>9.1.4</w:t>
      </w:r>
      <w:r>
        <w:rPr>
          <w:rFonts w:hint="eastAsia"/>
        </w:rPr>
        <w:t>评审小组在评审过程中发现投标人有行贿、提供虚假材料或者串通等违法为的，应当及时向财政部门报告。</w:t>
      </w:r>
    </w:p>
    <w:p>
      <w:pPr>
        <w:keepLines/>
        <w:pageBreakBefore w:val="0"/>
        <w:kinsoku/>
        <w:bidi w:val="0"/>
        <w:spacing w:line="360" w:lineRule="auto"/>
        <w:ind w:left="849" w:leftChars="200" w:hanging="369" w:hangingChars="154"/>
        <w:textAlignment w:val="auto"/>
        <w:rPr>
          <w:rFonts w:hint="eastAsia"/>
        </w:rPr>
      </w:pPr>
      <w:r>
        <w:rPr>
          <w:rFonts w:hint="eastAsia"/>
          <w:lang w:val="en-US" w:eastAsia="zh-CN"/>
        </w:rPr>
        <w:t>9.1.5</w:t>
      </w:r>
      <w:r>
        <w:rPr>
          <w:rFonts w:hint="eastAsia"/>
        </w:rPr>
        <w:t>评审专家在评审过程中受到非法干涉的，应当及时向财政、监察等部门举报。</w:t>
      </w:r>
    </w:p>
    <w:p>
      <w:pPr>
        <w:keepLines/>
        <w:pageBreakBefore w:val="0"/>
        <w:kinsoku/>
        <w:bidi w:val="0"/>
        <w:spacing w:line="360" w:lineRule="auto"/>
        <w:ind w:left="849" w:leftChars="200" w:hanging="369" w:hangingChars="154"/>
        <w:jc w:val="left"/>
        <w:textAlignment w:val="auto"/>
        <w:rPr>
          <w:rFonts w:hint="eastAsia"/>
        </w:rPr>
      </w:pPr>
      <w:r>
        <w:rPr>
          <w:rFonts w:hint="eastAsia"/>
          <w:lang w:val="en-US" w:eastAsia="zh-CN"/>
        </w:rPr>
        <w:t>9.1.6</w:t>
      </w:r>
      <w:r>
        <w:rPr>
          <w:rFonts w:hint="eastAsia"/>
        </w:rPr>
        <w:t>与评审活动有关的工作人员不得收受他人的财物或者其他好处，不得向他人透漏获悉的国家秘密、商业秘密。在评审活动中，与评审活动有关的工作人员不得擅离职守，影响评审程序正常进行。</w:t>
      </w:r>
      <w:bookmarkStart w:id="58" w:name="_Toc437271273"/>
    </w:p>
    <w:p>
      <w:pPr>
        <w:keepLines/>
        <w:pageBreakBefore w:val="0"/>
        <w:kinsoku/>
        <w:bidi w:val="0"/>
        <w:spacing w:line="360" w:lineRule="auto"/>
        <w:ind w:left="0" w:leftChars="0" w:firstLine="0" w:firstLineChars="0"/>
        <w:jc w:val="left"/>
        <w:textAlignment w:val="auto"/>
      </w:pPr>
      <w:r>
        <w:rPr>
          <w:rFonts w:hint="eastAsia"/>
          <w:lang w:val="en-US" w:eastAsia="zh-CN"/>
        </w:rPr>
        <w:t>9.2</w:t>
      </w:r>
      <w:r>
        <w:rPr>
          <w:rFonts w:hint="eastAsia"/>
        </w:rPr>
        <w:t>质疑、投诉处理</w:t>
      </w:r>
      <w:bookmarkEnd w:id="58"/>
    </w:p>
    <w:p>
      <w:pPr>
        <w:pageBreakBefore w:val="0"/>
        <w:kinsoku/>
        <w:bidi w:val="0"/>
        <w:spacing w:line="360" w:lineRule="auto"/>
        <w:ind w:firstLine="480"/>
        <w:textAlignment w:val="auto"/>
        <w:rPr>
          <w:rFonts w:hint="eastAsia"/>
        </w:rPr>
      </w:pPr>
      <w:r>
        <w:rPr>
          <w:rFonts w:hint="eastAsia"/>
        </w:rPr>
        <w:t>参加PPP项目采购活动的投标人对本次采购活动的询问、质疑和投诉，依照有关政府采购法律制度规定执行。</w:t>
      </w:r>
      <w:bookmarkStart w:id="59" w:name="_Toc437271274"/>
    </w:p>
    <w:p>
      <w:pPr>
        <w:pageBreakBefore w:val="0"/>
        <w:kinsoku/>
        <w:bidi w:val="0"/>
        <w:spacing w:line="360" w:lineRule="auto"/>
        <w:ind w:left="0" w:leftChars="0" w:firstLine="0" w:firstLineChars="0"/>
        <w:textAlignment w:val="auto"/>
      </w:pPr>
      <w:r>
        <w:rPr>
          <w:rFonts w:hint="eastAsia"/>
          <w:lang w:val="en-US" w:eastAsia="zh-CN"/>
        </w:rPr>
        <w:t>10.</w:t>
      </w:r>
      <w:r>
        <w:rPr>
          <w:rFonts w:hint="eastAsia"/>
        </w:rPr>
        <w:t>政府采购政策</w:t>
      </w:r>
      <w:bookmarkEnd w:id="59"/>
    </w:p>
    <w:p>
      <w:pPr>
        <w:pageBreakBefore w:val="0"/>
        <w:kinsoku/>
        <w:bidi w:val="0"/>
        <w:spacing w:line="360" w:lineRule="auto"/>
        <w:ind w:firstLine="480"/>
        <w:textAlignment w:val="auto"/>
      </w:pPr>
      <w:r>
        <w:rPr>
          <w:rFonts w:hint="eastAsia"/>
        </w:rPr>
        <w:t>政府采购应当有助于实现国家的经济和社会发展政策目标，包括保护环境，扶持不发达地区和少数民族地区，促进中小企业发展等。政府釆购应当采购本国货物、工程和服务。但有下列情形之一的除外：</w:t>
      </w:r>
    </w:p>
    <w:p>
      <w:pPr>
        <w:keepLines/>
        <w:pageBreakBefore w:val="0"/>
        <w:kinsoku/>
        <w:bidi w:val="0"/>
        <w:spacing w:line="360" w:lineRule="auto"/>
        <w:ind w:left="849" w:leftChars="200" w:hanging="369" w:hangingChars="154"/>
        <w:textAlignment w:val="auto"/>
      </w:pPr>
      <w:r>
        <w:rPr>
          <w:rFonts w:hint="eastAsia"/>
        </w:rPr>
        <w:t>(1)</w:t>
      </w:r>
      <w:r>
        <w:rPr>
          <w:rFonts w:hint="eastAsia"/>
        </w:rPr>
        <w:tab/>
      </w:r>
      <w:r>
        <w:rPr>
          <w:rFonts w:hint="eastAsia"/>
        </w:rPr>
        <w:t>需要采购的货物、工程或者服务在中国境内无法获取或者无法以合理的商业条件获取的；</w:t>
      </w:r>
    </w:p>
    <w:p>
      <w:pPr>
        <w:keepLines/>
        <w:pageBreakBefore w:val="0"/>
        <w:kinsoku/>
        <w:bidi w:val="0"/>
        <w:spacing w:line="360" w:lineRule="auto"/>
        <w:ind w:left="849" w:leftChars="200" w:hanging="369" w:hangingChars="154"/>
        <w:textAlignment w:val="auto"/>
      </w:pPr>
      <w:r>
        <w:rPr>
          <w:rFonts w:hint="eastAsia"/>
        </w:rPr>
        <w:t>(2)</w:t>
      </w:r>
      <w:r>
        <w:rPr>
          <w:rFonts w:hint="eastAsia"/>
        </w:rPr>
        <w:tab/>
      </w:r>
      <w:r>
        <w:rPr>
          <w:rFonts w:hint="eastAsia"/>
        </w:rPr>
        <w:t>为在中国境外使用而进行采购的；</w:t>
      </w:r>
    </w:p>
    <w:p>
      <w:pPr>
        <w:keepLines/>
        <w:pageBreakBefore w:val="0"/>
        <w:kinsoku/>
        <w:bidi w:val="0"/>
        <w:spacing w:line="360" w:lineRule="auto"/>
        <w:ind w:left="849" w:leftChars="200" w:hanging="369" w:hangingChars="154"/>
        <w:textAlignment w:val="auto"/>
      </w:pPr>
      <w:r>
        <w:rPr>
          <w:rFonts w:hint="eastAsia"/>
        </w:rPr>
        <w:t>(3)</w:t>
      </w:r>
      <w:r>
        <w:rPr>
          <w:rFonts w:hint="eastAsia"/>
        </w:rPr>
        <w:tab/>
      </w:r>
      <w:r>
        <w:rPr>
          <w:rFonts w:hint="eastAsia"/>
        </w:rPr>
        <w:t>其他法律、行政法规另有规定的。</w:t>
      </w:r>
    </w:p>
    <w:p>
      <w:pPr>
        <w:pageBreakBefore w:val="0"/>
        <w:kinsoku/>
        <w:bidi w:val="0"/>
        <w:spacing w:line="360" w:lineRule="auto"/>
        <w:ind w:firstLine="480"/>
        <w:textAlignment w:val="auto"/>
        <w:rPr>
          <w:rFonts w:hint="eastAsia"/>
        </w:rPr>
      </w:pPr>
      <w:r>
        <w:rPr>
          <w:rFonts w:hint="eastAsia"/>
        </w:rPr>
        <w:t>上述本国货物、工程和服务的界定，依照国务院有关规定执行。</w:t>
      </w:r>
      <w:bookmarkStart w:id="60" w:name="_Toc437271275"/>
    </w:p>
    <w:p>
      <w:pPr>
        <w:pageBreakBefore w:val="0"/>
        <w:kinsoku/>
        <w:bidi w:val="0"/>
        <w:spacing w:line="360" w:lineRule="auto"/>
        <w:ind w:left="0" w:leftChars="0" w:firstLine="0" w:firstLineChars="0"/>
        <w:textAlignment w:val="auto"/>
      </w:pPr>
      <w:r>
        <w:rPr>
          <w:rFonts w:hint="eastAsia"/>
          <w:lang w:val="en-US" w:eastAsia="zh-CN"/>
        </w:rPr>
        <w:t>11.</w:t>
      </w:r>
      <w:r>
        <w:rPr>
          <w:rFonts w:hint="eastAsia"/>
        </w:rPr>
        <w:t>需要补充的其他内容</w:t>
      </w:r>
      <w:bookmarkEnd w:id="60"/>
    </w:p>
    <w:p>
      <w:pPr>
        <w:pageBreakBefore w:val="0"/>
        <w:kinsoku/>
        <w:bidi w:val="0"/>
        <w:spacing w:line="360" w:lineRule="auto"/>
        <w:ind w:firstLine="480"/>
        <w:textAlignment w:val="auto"/>
      </w:pPr>
      <w:r>
        <w:rPr>
          <w:rFonts w:hint="eastAsia"/>
        </w:rPr>
        <w:t>需要补充的其他内容：见投标人须知前附表。</w:t>
      </w:r>
      <w:r>
        <w:br w:type="page"/>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Style w:val="7"/>
        <w:pageBreakBefore w:val="0"/>
        <w:kinsoku/>
        <w:bidi w:val="0"/>
        <w:spacing w:line="360" w:lineRule="auto"/>
        <w:textAlignment w:val="auto"/>
      </w:pPr>
      <w:bookmarkStart w:id="61" w:name="_Toc437271277"/>
      <w:r>
        <w:rPr>
          <w:rFonts w:hint="eastAsia"/>
        </w:rPr>
        <w:t>项目采购需求</w:t>
      </w:r>
      <w:bookmarkEnd w:id="61"/>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r>
        <w:br w:type="page"/>
      </w:r>
    </w:p>
    <w:p>
      <w:pPr>
        <w:pStyle w:val="58"/>
        <w:pageBreakBefore w:val="0"/>
        <w:widowControl w:val="0"/>
        <w:numPr>
          <w:ilvl w:val="1"/>
          <w:numId w:val="0"/>
        </w:numPr>
        <w:tabs>
          <w:tab w:val="left" w:pos="3878"/>
          <w:tab w:val="center" w:pos="4550"/>
        </w:tabs>
        <w:kinsoku/>
        <w:wordWrap/>
        <w:overflowPunct/>
        <w:topLinePunct w:val="0"/>
        <w:autoSpaceDE/>
        <w:autoSpaceDN/>
        <w:bidi w:val="0"/>
        <w:adjustRightInd/>
        <w:snapToGrid/>
        <w:spacing w:before="0" w:after="0" w:line="360" w:lineRule="auto"/>
        <w:ind w:left="-144" w:leftChars="0" w:right="0" w:rightChars="0"/>
        <w:jc w:val="center"/>
        <w:textAlignment w:val="auto"/>
        <w:rPr>
          <w:rFonts w:hint="eastAsia"/>
          <w:color w:val="auto"/>
        </w:rPr>
      </w:pPr>
      <w:bookmarkStart w:id="62" w:name="_Toc437271278"/>
      <w:r>
        <w:rPr>
          <w:rFonts w:hint="eastAsia"/>
          <w:color w:val="auto"/>
          <w:lang w:val="en-US" w:eastAsia="zh-CN"/>
        </w:rPr>
        <w:t>一、</w:t>
      </w:r>
      <w:r>
        <w:rPr>
          <w:rFonts w:hint="eastAsia"/>
          <w:color w:val="auto"/>
        </w:rPr>
        <w:t>项目概况</w:t>
      </w:r>
      <w:bookmarkEnd w:id="62"/>
    </w:p>
    <w:p>
      <w:pPr>
        <w:pStyle w:val="58"/>
        <w:pageBreakBefore w:val="0"/>
        <w:widowControl w:val="0"/>
        <w:numPr>
          <w:ilvl w:val="1"/>
          <w:numId w:val="0"/>
        </w:numPr>
        <w:tabs>
          <w:tab w:val="left" w:pos="3878"/>
          <w:tab w:val="center" w:pos="4550"/>
        </w:tabs>
        <w:kinsoku/>
        <w:wordWrap/>
        <w:overflowPunct/>
        <w:topLinePunct w:val="0"/>
        <w:autoSpaceDE/>
        <w:autoSpaceDN/>
        <w:bidi w:val="0"/>
        <w:adjustRightInd/>
        <w:snapToGrid/>
        <w:spacing w:before="0" w:after="0" w:line="360" w:lineRule="auto"/>
        <w:ind w:left="-144" w:leftChars="0" w:right="0" w:rightChars="0"/>
        <w:jc w:val="both"/>
        <w:textAlignment w:val="auto"/>
        <w:rPr>
          <w:rFonts w:hint="default"/>
          <w:b w:val="0"/>
          <w:bCs w:val="0"/>
          <w:sz w:val="21"/>
          <w:szCs w:val="21"/>
          <w:lang w:val="en-US" w:eastAsia="zh-CN"/>
        </w:rPr>
      </w:pPr>
      <w:r>
        <w:rPr>
          <w:rFonts w:hint="eastAsia"/>
          <w:b w:val="0"/>
          <w:bCs w:val="0"/>
          <w:sz w:val="21"/>
          <w:szCs w:val="21"/>
          <w:lang w:val="en-US" w:eastAsia="zh-CN"/>
        </w:rPr>
        <w:tab/>
      </w:r>
      <w:r>
        <w:rPr>
          <w:rFonts w:hint="eastAsia" w:ascii="Times New Roman" w:hAnsi="Times New Roman" w:eastAsia="宋体" w:cstheme="minorBidi"/>
          <w:b w:val="0"/>
          <w:bCs w:val="0"/>
          <w:kern w:val="2"/>
          <w:sz w:val="24"/>
          <w:szCs w:val="24"/>
          <w:lang w:val="en-US" w:eastAsia="zh-CN" w:bidi="ar-SA"/>
        </w:rPr>
        <w:tab/>
      </w:r>
      <w:r>
        <w:rPr>
          <w:rFonts w:hint="eastAsia" w:ascii="Times New Roman" w:hAnsi="Times New Roman" w:eastAsia="宋体" w:cstheme="minorBidi"/>
          <w:b w:val="0"/>
          <w:bCs w:val="0"/>
          <w:kern w:val="2"/>
          <w:sz w:val="24"/>
          <w:szCs w:val="24"/>
          <w:lang w:val="en-US" w:eastAsia="zh-CN" w:bidi="ar-SA"/>
        </w:rPr>
        <w:t>本</w:t>
      </w:r>
      <w:r>
        <w:rPr>
          <w:rFonts w:hint="default" w:ascii="Times New Roman" w:hAnsi="Times New Roman" w:eastAsia="宋体" w:cstheme="minorBidi"/>
          <w:b w:val="0"/>
          <w:bCs w:val="0"/>
          <w:kern w:val="2"/>
          <w:sz w:val="24"/>
          <w:szCs w:val="24"/>
          <w:lang w:val="en-US" w:eastAsia="zh-CN" w:bidi="ar-SA"/>
        </w:rPr>
        <w:t>项目自东向西，起点位于唐庄范庄南侧的郭阳线与冯唐线交叉处。冯唐线为东西向道路，郭阳线在本项目起点前为东西向道路，在起点处折向南，成南北向道路。推荐线起点桩号为K0+000.000。道路起点后向南在K1+300段穿过马蹄沟村和南坡村，而后沿山坡南行约一公里至K2+300过刘家沟村，继续南行至K4+050进入东张村，而后在K4+450附近出东张村继续沿现状道路南行，在K5+000进入西燕村，路线折向西南，在K6+600过北新庄折向南，道路成为南北向道路，在K7+500附近绕过山坡后道路折向西，进入锦鹏生态园区道路，在K8+800左右与卢崖寺景区道路相交后道路在K9+200处折向南进入已经建成通车的福佑路，进入的登封市城区道路完全利用段，利用段总长为4780</w:t>
      </w:r>
      <w:r>
        <w:rPr>
          <w:rFonts w:hint="eastAsia" w:ascii="Times New Roman" w:hAnsi="Times New Roman" w:eastAsia="宋体" w:cstheme="minorBidi"/>
          <w:b w:val="0"/>
          <w:bCs w:val="0"/>
          <w:kern w:val="2"/>
          <w:sz w:val="24"/>
          <w:szCs w:val="24"/>
          <w:lang w:val="en-US" w:eastAsia="zh-CN" w:bidi="ar-SA"/>
        </w:rPr>
        <w:t>米</w:t>
      </w:r>
      <w:r>
        <w:rPr>
          <w:rFonts w:hint="default" w:ascii="Times New Roman" w:hAnsi="Times New Roman" w:eastAsia="宋体" w:cstheme="minorBidi"/>
          <w:b w:val="0"/>
          <w:bCs w:val="0"/>
          <w:kern w:val="2"/>
          <w:sz w:val="24"/>
          <w:szCs w:val="24"/>
          <w:lang w:val="en-US" w:eastAsia="zh-CN" w:bidi="ar-SA"/>
        </w:rPr>
        <w:t>，利用段为福佑路（福佑路至少林大道，长度为1180</w:t>
      </w:r>
      <w:r>
        <w:rPr>
          <w:rFonts w:hint="eastAsia" w:ascii="Times New Roman" w:hAnsi="Times New Roman" w:cstheme="minorBidi"/>
          <w:b w:val="0"/>
          <w:bCs w:val="0"/>
          <w:kern w:val="2"/>
          <w:sz w:val="24"/>
          <w:szCs w:val="24"/>
          <w:lang w:val="en-US" w:eastAsia="zh-CN" w:bidi="ar-SA"/>
        </w:rPr>
        <w:t>米</w:t>
      </w:r>
      <w:r>
        <w:rPr>
          <w:rFonts w:hint="default" w:ascii="Times New Roman" w:hAnsi="Times New Roman" w:eastAsia="宋体" w:cstheme="minorBidi"/>
          <w:b w:val="0"/>
          <w:bCs w:val="0"/>
          <w:kern w:val="2"/>
          <w:sz w:val="24"/>
          <w:szCs w:val="24"/>
          <w:lang w:val="en-US" w:eastAsia="zh-CN" w:bidi="ar-SA"/>
        </w:rPr>
        <w:t>），少林大道段（福佑路至阳城路，长度为2470</w:t>
      </w:r>
      <w:r>
        <w:rPr>
          <w:rFonts w:hint="eastAsia" w:ascii="Times New Roman" w:hAnsi="Times New Roman" w:eastAsia="宋体" w:cstheme="minorBidi"/>
          <w:b w:val="0"/>
          <w:bCs w:val="0"/>
          <w:kern w:val="2"/>
          <w:sz w:val="24"/>
          <w:szCs w:val="24"/>
          <w:lang w:val="en-US" w:eastAsia="zh-CN" w:bidi="ar-SA"/>
        </w:rPr>
        <w:t>米</w:t>
      </w:r>
      <w:r>
        <w:rPr>
          <w:rFonts w:hint="default" w:ascii="Times New Roman" w:hAnsi="Times New Roman" w:eastAsia="宋体" w:cstheme="minorBidi"/>
          <w:b w:val="0"/>
          <w:bCs w:val="0"/>
          <w:kern w:val="2"/>
          <w:sz w:val="24"/>
          <w:szCs w:val="24"/>
          <w:lang w:val="en-US" w:eastAsia="zh-CN" w:bidi="ar-SA"/>
        </w:rPr>
        <w:t>），阳城路段（少林大道至太室路，长度1130</w:t>
      </w:r>
      <w:r>
        <w:rPr>
          <w:rFonts w:hint="eastAsia" w:ascii="Times New Roman" w:hAnsi="Times New Roman" w:eastAsia="宋体" w:cstheme="minorBidi"/>
          <w:b w:val="0"/>
          <w:bCs w:val="0"/>
          <w:kern w:val="2"/>
          <w:sz w:val="24"/>
          <w:szCs w:val="24"/>
          <w:lang w:val="en-US" w:eastAsia="zh-CN" w:bidi="ar-SA"/>
        </w:rPr>
        <w:t>米</w:t>
      </w:r>
      <w:r>
        <w:rPr>
          <w:rFonts w:hint="default" w:ascii="Times New Roman" w:hAnsi="Times New Roman" w:eastAsia="宋体" w:cstheme="minorBidi"/>
          <w:b w:val="0"/>
          <w:bCs w:val="0"/>
          <w:kern w:val="2"/>
          <w:sz w:val="24"/>
          <w:szCs w:val="24"/>
          <w:lang w:val="en-US" w:eastAsia="zh-CN" w:bidi="ar-SA"/>
        </w:rPr>
        <w:t>），城区利用段福佑路为南北路，少林大道东西路，在少林大道与阳城路交叉口折向北，沿阳城路北上后至太室路折向西，而后道路进入城区改建段，改建段长度为13320</w:t>
      </w:r>
      <w:r>
        <w:rPr>
          <w:rFonts w:hint="eastAsia" w:ascii="Times New Roman" w:hAnsi="Times New Roman" w:eastAsia="宋体" w:cstheme="minorBidi"/>
          <w:b w:val="0"/>
          <w:bCs w:val="0"/>
          <w:kern w:val="2"/>
          <w:sz w:val="24"/>
          <w:szCs w:val="24"/>
          <w:lang w:val="en-US" w:eastAsia="zh-CN" w:bidi="ar-SA"/>
        </w:rPr>
        <w:t>米</w:t>
      </w:r>
      <w:r>
        <w:rPr>
          <w:rFonts w:hint="default" w:ascii="Times New Roman" w:hAnsi="Times New Roman" w:eastAsia="宋体" w:cstheme="minorBidi"/>
          <w:b w:val="0"/>
          <w:bCs w:val="0"/>
          <w:kern w:val="2"/>
          <w:sz w:val="24"/>
          <w:szCs w:val="24"/>
          <w:lang w:val="en-US" w:eastAsia="zh-CN" w:bidi="ar-SA"/>
        </w:rPr>
        <w:t>。城区利用改建段从K13+980后折向西后进入太室路，道路呈东西走向，依次向西与城区道路守敬路（K14+300）、大禹路（K14+750）、崇福路（K15+365）、并与K16+700进入嵩阳书院景区，依次与滨河路、书院河路、嵩阳路、少室路后出嵩阳书院景区后折向西南，而后前行进入会善寺景区，而后与G207相交，折向南，并进入环山旅游路的西段，过少室阙后进入少林音乐大典后在K25+000与大禹路西段终点相交后南行在K25+760与少林大道相交后与规划路颖河路及规划南二环路后进入新建路段。新建路段由南北向道路折向西南，跨过北秦沟后进入三王庄，在K30+500过天成植物园后折向路南侧，从清凉寺水库大坝下游约200</w:t>
      </w:r>
      <w:r>
        <w:rPr>
          <w:rFonts w:hint="eastAsia" w:ascii="Times New Roman" w:hAnsi="Times New Roman" w:eastAsia="宋体" w:cstheme="minorBidi"/>
          <w:b w:val="0"/>
          <w:bCs w:val="0"/>
          <w:kern w:val="2"/>
          <w:sz w:val="24"/>
          <w:szCs w:val="24"/>
          <w:lang w:val="en-US" w:eastAsia="zh-CN" w:bidi="ar-SA"/>
        </w:rPr>
        <w:t>米</w:t>
      </w:r>
      <w:r>
        <w:rPr>
          <w:rFonts w:hint="default" w:ascii="Times New Roman" w:hAnsi="Times New Roman" w:eastAsia="宋体" w:cstheme="minorBidi"/>
          <w:b w:val="0"/>
          <w:bCs w:val="0"/>
          <w:kern w:val="2"/>
          <w:sz w:val="24"/>
          <w:szCs w:val="24"/>
          <w:lang w:val="en-US" w:eastAsia="zh-CN" w:bidi="ar-SA"/>
        </w:rPr>
        <w:t>处穿过，在预留的少林服务区立交出口西侧与现状文颖路相顺接，为本项目终点，终点桩号K33+420。</w:t>
      </w:r>
      <w:bookmarkStart w:id="63" w:name="_Toc437271279"/>
    </w:p>
    <w:p>
      <w:pPr>
        <w:pStyle w:val="58"/>
        <w:pageBreakBefore w:val="0"/>
        <w:widowControl w:val="0"/>
        <w:numPr>
          <w:numId w:val="0"/>
        </w:numPr>
        <w:tabs>
          <w:tab w:val="left" w:pos="3878"/>
          <w:tab w:val="center" w:pos="4550"/>
        </w:tabs>
        <w:kinsoku/>
        <w:wordWrap/>
        <w:overflowPunct/>
        <w:topLinePunct w:val="0"/>
        <w:autoSpaceDE/>
        <w:autoSpaceDN/>
        <w:bidi w:val="0"/>
        <w:adjustRightInd/>
        <w:snapToGrid/>
        <w:spacing w:before="0" w:after="0" w:line="360" w:lineRule="auto"/>
        <w:ind w:left="-720" w:leftChars="0" w:right="0" w:rightChars="0"/>
        <w:jc w:val="center"/>
        <w:textAlignment w:val="auto"/>
        <w:rPr>
          <w:rFonts w:ascii="Times New Roman" w:hAnsi="Times New Roman"/>
          <w:b/>
          <w:lang w:val="en-US"/>
        </w:rPr>
      </w:pPr>
      <w:r>
        <w:rPr>
          <w:rFonts w:hint="eastAsia"/>
          <w:color w:val="auto"/>
          <w:lang w:val="en-US" w:eastAsia="zh-CN"/>
        </w:rPr>
        <w:t>二、</w:t>
      </w:r>
      <w:r>
        <w:rPr>
          <w:rFonts w:hint="eastAsia"/>
          <w:color w:val="auto"/>
        </w:rPr>
        <w:t>风险分配基本框架</w:t>
      </w:r>
      <w:bookmarkEnd w:id="63"/>
      <w:bookmarkStart w:id="146" w:name="_GoBack"/>
      <w:bookmarkEnd w:id="146"/>
    </w:p>
    <w:tbl>
      <w:tblPr>
        <w:tblStyle w:val="44"/>
        <w:tblW w:w="8616" w:type="dxa"/>
        <w:tblInd w:w="0" w:type="dxa"/>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190"/>
        <w:gridCol w:w="3314"/>
        <w:gridCol w:w="4112"/>
      </w:tblGrid>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blHeader/>
        </w:trPr>
        <w:tc>
          <w:tcPr>
            <w:tcW w:w="1190" w:type="dxa"/>
            <w:tcBorders>
              <w:top w:val="single" w:color="000000" w:sz="12" w:space="0"/>
              <w:left w:val="nil"/>
              <w:bottom w:val="single" w:color="auto" w:sz="8" w:space="0"/>
              <w:right w:val="single" w:color="000000" w:sz="6" w:space="0"/>
            </w:tcBorders>
            <w:vAlign w:val="center"/>
          </w:tcPr>
          <w:p>
            <w:pPr>
              <w:adjustRightInd w:val="0"/>
              <w:snapToGrid w:val="0"/>
              <w:spacing w:line="380" w:lineRule="exact"/>
              <w:ind w:firstLine="0" w:firstLineChars="0"/>
              <w:jc w:val="center"/>
              <w:rPr>
                <w:rFonts w:ascii="Times New Roman" w:hAnsi="Times New Roman"/>
                <w:b/>
                <w:iCs/>
                <w:sz w:val="24"/>
                <w:szCs w:val="24"/>
              </w:rPr>
            </w:pPr>
            <w:r>
              <w:rPr>
                <w:rFonts w:ascii="Times New Roman" w:hAnsi="Times New Roman"/>
                <w:b/>
                <w:iCs/>
                <w:sz w:val="24"/>
                <w:szCs w:val="24"/>
              </w:rPr>
              <w:t>风险类型</w:t>
            </w:r>
          </w:p>
        </w:tc>
        <w:tc>
          <w:tcPr>
            <w:tcW w:w="3314" w:type="dxa"/>
            <w:tcBorders>
              <w:top w:val="single" w:color="000000" w:sz="12"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center"/>
              <w:rPr>
                <w:rFonts w:ascii="Times New Roman" w:hAnsi="Times New Roman"/>
                <w:b/>
                <w:iCs/>
                <w:sz w:val="24"/>
                <w:szCs w:val="24"/>
              </w:rPr>
            </w:pPr>
            <w:r>
              <w:rPr>
                <w:rFonts w:ascii="Times New Roman" w:hAnsi="Times New Roman"/>
                <w:b/>
                <w:iCs/>
                <w:sz w:val="24"/>
                <w:szCs w:val="24"/>
              </w:rPr>
              <w:t>风险描述</w:t>
            </w:r>
          </w:p>
        </w:tc>
        <w:tc>
          <w:tcPr>
            <w:tcW w:w="4112" w:type="dxa"/>
            <w:tcBorders>
              <w:top w:val="single" w:color="000000" w:sz="12" w:space="0"/>
              <w:left w:val="single" w:color="auto" w:sz="8" w:space="0"/>
              <w:bottom w:val="single" w:color="auto" w:sz="8" w:space="0"/>
              <w:right w:val="nil"/>
            </w:tcBorders>
            <w:vAlign w:val="top"/>
          </w:tcPr>
          <w:p>
            <w:pPr>
              <w:adjustRightInd w:val="0"/>
              <w:snapToGrid w:val="0"/>
              <w:spacing w:line="380" w:lineRule="exact"/>
              <w:ind w:firstLine="0" w:firstLineChars="0"/>
              <w:jc w:val="center"/>
              <w:rPr>
                <w:rFonts w:ascii="Times New Roman" w:hAnsi="Times New Roman"/>
                <w:b/>
                <w:iCs/>
                <w:sz w:val="24"/>
                <w:szCs w:val="24"/>
              </w:rPr>
            </w:pPr>
            <w:r>
              <w:rPr>
                <w:rFonts w:ascii="Times New Roman" w:hAnsi="Times New Roman"/>
                <w:b/>
                <w:iCs/>
                <w:sz w:val="24"/>
                <w:szCs w:val="24"/>
              </w:rPr>
              <w:t>风险分配</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tcBorders>
              <w:top w:val="single" w:color="auto" w:sz="8" w:space="0"/>
              <w:left w:val="nil"/>
              <w:bottom w:val="single" w:color="auto" w:sz="8" w:space="0"/>
              <w:right w:val="single" w:color="000000" w:sz="6" w:space="0"/>
            </w:tcBorders>
            <w:vAlign w:val="center"/>
          </w:tcPr>
          <w:p>
            <w:pPr>
              <w:adjustRightInd w:val="0"/>
              <w:snapToGrid w:val="0"/>
              <w:spacing w:line="380" w:lineRule="exact"/>
              <w:ind w:firstLine="0" w:firstLineChars="0"/>
              <w:jc w:val="center"/>
              <w:rPr>
                <w:rFonts w:ascii="Times New Roman" w:hAnsi="Times New Roman"/>
                <w:sz w:val="24"/>
                <w:szCs w:val="24"/>
              </w:rPr>
            </w:pPr>
            <w:r>
              <w:rPr>
                <w:rFonts w:ascii="Times New Roman" w:hAnsi="Times New Roman"/>
                <w:sz w:val="24"/>
                <w:szCs w:val="24"/>
              </w:rPr>
              <w:t>组织结构</w:t>
            </w: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1.项目公司管理组织能力不足</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由</w:t>
            </w:r>
            <w:r>
              <w:rPr>
                <w:rFonts w:hint="eastAsia" w:ascii="Times New Roman" w:hAnsi="Times New Roman"/>
                <w:sz w:val="24"/>
                <w:szCs w:val="24"/>
                <w:lang w:val="en-US"/>
              </w:rPr>
              <w:t>项目公司</w:t>
            </w:r>
            <w:r>
              <w:rPr>
                <w:rFonts w:ascii="Times New Roman" w:hAnsi="Times New Roman"/>
                <w:sz w:val="24"/>
                <w:szCs w:val="24"/>
              </w:rPr>
              <w:t>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restart"/>
            <w:tcBorders>
              <w:left w:val="nil"/>
              <w:right w:val="single" w:color="000000" w:sz="6" w:space="0"/>
            </w:tcBorders>
            <w:vAlign w:val="center"/>
          </w:tcPr>
          <w:p>
            <w:pPr>
              <w:adjustRightInd w:val="0"/>
              <w:snapToGrid w:val="0"/>
              <w:spacing w:line="380" w:lineRule="exact"/>
              <w:ind w:firstLine="0" w:firstLineChars="0"/>
              <w:jc w:val="center"/>
              <w:rPr>
                <w:rFonts w:ascii="Times New Roman" w:hAnsi="Times New Roman"/>
                <w:sz w:val="24"/>
                <w:szCs w:val="24"/>
              </w:rPr>
            </w:pPr>
            <w:r>
              <w:rPr>
                <w:rFonts w:ascii="Times New Roman" w:hAnsi="Times New Roman"/>
                <w:sz w:val="24"/>
                <w:szCs w:val="24"/>
              </w:rPr>
              <w:t>建设风险</w:t>
            </w:r>
          </w:p>
        </w:tc>
        <w:tc>
          <w:tcPr>
            <w:tcW w:w="3314" w:type="dxa"/>
            <w:vMerge w:val="restart"/>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.完工延误风险</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因政府方原因造成的延误的，由政府方承担，就此等延误导致的费用成本增加计入由项目公司编制的项目竣工决算总投资。</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vMerge w:val="continue"/>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rPr>
                <w:rFonts w:ascii="Times New Roman" w:hAnsi="Times New Roman"/>
                <w:sz w:val="24"/>
                <w:szCs w:val="24"/>
              </w:rPr>
            </w:pP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因</w:t>
            </w:r>
            <w:r>
              <w:rPr>
                <w:rFonts w:hint="eastAsia" w:ascii="Times New Roman" w:hAnsi="Times New Roman"/>
                <w:sz w:val="24"/>
                <w:szCs w:val="24"/>
              </w:rPr>
              <w:t>项目</w:t>
            </w:r>
            <w:r>
              <w:rPr>
                <w:rFonts w:ascii="Times New Roman" w:hAnsi="Times New Roman"/>
                <w:sz w:val="24"/>
                <w:szCs w:val="24"/>
              </w:rPr>
              <w:t>公司原因造成的延误由</w:t>
            </w:r>
            <w:r>
              <w:rPr>
                <w:rFonts w:hint="eastAsia" w:ascii="Times New Roman" w:hAnsi="Times New Roman"/>
                <w:sz w:val="24"/>
                <w:szCs w:val="24"/>
              </w:rPr>
              <w:t>项目</w:t>
            </w:r>
            <w:r>
              <w:rPr>
                <w:rFonts w:ascii="Times New Roman" w:hAnsi="Times New Roman"/>
                <w:sz w:val="24"/>
                <w:szCs w:val="24"/>
              </w:rPr>
              <w:t>公司承担，</w:t>
            </w:r>
            <w:r>
              <w:rPr>
                <w:rFonts w:hint="eastAsia" w:ascii="Times New Roman" w:hAnsi="Times New Roman"/>
                <w:sz w:val="24"/>
                <w:szCs w:val="24"/>
              </w:rPr>
              <w:t>项目</w:t>
            </w:r>
            <w:r>
              <w:rPr>
                <w:rFonts w:ascii="Times New Roman" w:hAnsi="Times New Roman"/>
                <w:sz w:val="24"/>
                <w:szCs w:val="24"/>
              </w:rPr>
              <w:t>公司将就此等延误向政府方支付相应违约金。比如没有按照预定的完工时间安排工程进度；缺乏科学严密的组织管理，造成施工过程中的停工、窝工、返工或工程进展效率不高，以致工程延期交付等。</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vMerge w:val="continue"/>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rPr>
                <w:rFonts w:ascii="Times New Roman" w:hAnsi="Times New Roman"/>
                <w:sz w:val="24"/>
                <w:szCs w:val="24"/>
              </w:rPr>
            </w:pP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原材料或能源供应商由于各种原因没有按照供应合同的规定，及时供应原材料或能源，造成工期延误的风险，由</w:t>
            </w:r>
            <w:r>
              <w:rPr>
                <w:rFonts w:hint="eastAsia" w:ascii="Times New Roman" w:hAnsi="Times New Roman"/>
                <w:sz w:val="24"/>
                <w:szCs w:val="24"/>
              </w:rPr>
              <w:t>项目</w:t>
            </w:r>
            <w:r>
              <w:rPr>
                <w:rFonts w:ascii="Times New Roman" w:hAnsi="Times New Roman"/>
                <w:sz w:val="24"/>
                <w:szCs w:val="24"/>
              </w:rPr>
              <w:t>公司承担。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vMerge w:val="continue"/>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rPr>
                <w:rFonts w:ascii="Times New Roman" w:hAnsi="Times New Roman"/>
                <w:sz w:val="24"/>
                <w:szCs w:val="24"/>
              </w:rPr>
            </w:pP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由于技术原因，比如项目建设中新技术的应用不如预计的顺利，或者在建设过程中出现新技术难题等，引起的完工延误由</w:t>
            </w:r>
            <w:r>
              <w:rPr>
                <w:rFonts w:hint="eastAsia" w:ascii="Times New Roman" w:hAnsi="Times New Roman"/>
                <w:sz w:val="24"/>
                <w:szCs w:val="24"/>
              </w:rPr>
              <w:t>项目</w:t>
            </w:r>
            <w:r>
              <w:rPr>
                <w:rFonts w:ascii="Times New Roman" w:hAnsi="Times New Roman"/>
                <w:sz w:val="24"/>
                <w:szCs w:val="24"/>
              </w:rPr>
              <w:t>公司承担。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vMerge w:val="continue"/>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rPr>
                <w:rFonts w:ascii="Times New Roman" w:hAnsi="Times New Roman"/>
                <w:sz w:val="24"/>
                <w:szCs w:val="24"/>
              </w:rPr>
            </w:pP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资金到位不及时导致完工延误的风险由</w:t>
            </w:r>
            <w:r>
              <w:rPr>
                <w:rFonts w:hint="eastAsia" w:ascii="Times New Roman" w:hAnsi="Times New Roman"/>
                <w:sz w:val="24"/>
                <w:szCs w:val="24"/>
              </w:rPr>
              <w:t>项目</w:t>
            </w:r>
            <w:r>
              <w:rPr>
                <w:rFonts w:ascii="Times New Roman" w:hAnsi="Times New Roman"/>
                <w:sz w:val="24"/>
                <w:szCs w:val="24"/>
              </w:rPr>
              <w:t>公司承担</w:t>
            </w:r>
            <w:r>
              <w:rPr>
                <w:rFonts w:hint="eastAsia" w:ascii="Times New Roman" w:hAnsi="Times New Roman"/>
                <w:sz w:val="24"/>
                <w:szCs w:val="24"/>
              </w:rPr>
              <w:t>。</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vMerge w:val="continue"/>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rPr>
                <w:rFonts w:ascii="Times New Roman" w:hAnsi="Times New Roman"/>
                <w:sz w:val="24"/>
                <w:szCs w:val="24"/>
              </w:rPr>
            </w:pP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不可抗力导致的完工延误属于免责事由，</w:t>
            </w:r>
            <w:r>
              <w:rPr>
                <w:rFonts w:hint="eastAsia" w:ascii="Times New Roman" w:hAnsi="Times New Roman"/>
                <w:sz w:val="24"/>
                <w:szCs w:val="24"/>
                <w:lang w:val="en-US"/>
              </w:rPr>
              <w:t>可</w:t>
            </w:r>
            <w:r>
              <w:rPr>
                <w:rFonts w:ascii="Times New Roman" w:hAnsi="Times New Roman"/>
                <w:sz w:val="24"/>
                <w:szCs w:val="24"/>
              </w:rPr>
              <w:t>顺延工期。</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vMerge w:val="restart"/>
            <w:tcBorders>
              <w:top w:val="single" w:color="auto" w:sz="8" w:space="0"/>
              <w:left w:val="single" w:color="auto" w:sz="8" w:space="0"/>
              <w:bottom w:val="single" w:color="auto" w:sz="8" w:space="0"/>
              <w:right w:val="single" w:color="auto" w:sz="8" w:space="0"/>
            </w:tcBorders>
            <w:vAlign w:val="top"/>
          </w:tcPr>
          <w:p>
            <w:pPr>
              <w:tabs>
                <w:tab w:val="right" w:pos="2871"/>
              </w:tabs>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.设计变更</w:t>
            </w:r>
            <w:r>
              <w:rPr>
                <w:rFonts w:ascii="Times New Roman" w:hAnsi="Times New Roman"/>
                <w:sz w:val="24"/>
                <w:szCs w:val="24"/>
              </w:rPr>
              <w:tab/>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因政府方原因造成设计变更由政府方承担，政府方将就变更增加产生的费用计入由项目公司编制的项目竣工决算总投资。</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vMerge w:val="continue"/>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rPr>
                <w:rFonts w:ascii="Times New Roman" w:hAnsi="Times New Roman"/>
                <w:sz w:val="24"/>
                <w:szCs w:val="24"/>
              </w:rPr>
            </w:pP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因</w:t>
            </w:r>
            <w:r>
              <w:rPr>
                <w:rFonts w:hint="eastAsia" w:ascii="Times New Roman" w:hAnsi="Times New Roman"/>
                <w:sz w:val="24"/>
                <w:szCs w:val="24"/>
              </w:rPr>
              <w:t>项目</w:t>
            </w:r>
            <w:r>
              <w:rPr>
                <w:rFonts w:ascii="Times New Roman" w:hAnsi="Times New Roman"/>
                <w:sz w:val="24"/>
                <w:szCs w:val="24"/>
              </w:rPr>
              <w:t>公司、工程承包方原因造成的设计变更由</w:t>
            </w:r>
            <w:r>
              <w:rPr>
                <w:rFonts w:hint="eastAsia" w:ascii="Times New Roman" w:hAnsi="Times New Roman"/>
                <w:sz w:val="24"/>
                <w:szCs w:val="24"/>
              </w:rPr>
              <w:t>项目</w:t>
            </w:r>
            <w:r>
              <w:rPr>
                <w:rFonts w:ascii="Times New Roman" w:hAnsi="Times New Roman"/>
                <w:sz w:val="24"/>
                <w:szCs w:val="24"/>
              </w:rPr>
              <w:t>公司承担，</w:t>
            </w:r>
            <w:r>
              <w:rPr>
                <w:rFonts w:hint="eastAsia" w:ascii="Times New Roman" w:hAnsi="Times New Roman"/>
                <w:sz w:val="24"/>
                <w:szCs w:val="24"/>
              </w:rPr>
              <w:t>项目</w:t>
            </w:r>
            <w:r>
              <w:rPr>
                <w:rFonts w:ascii="Times New Roman" w:hAnsi="Times New Roman"/>
                <w:sz w:val="24"/>
                <w:szCs w:val="24"/>
              </w:rPr>
              <w:t>公司自行支付因设计变更所增加的费用。</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.建设成本超支风险</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在项目建设过程中，工程承包方不厉行节约、精打细算，缺乏严密的工程支出预算，造成严重浪费，以致建设成本超支的风险由</w:t>
            </w:r>
            <w:r>
              <w:rPr>
                <w:rFonts w:hint="eastAsia" w:ascii="Times New Roman" w:hAnsi="Times New Roman"/>
                <w:sz w:val="24"/>
                <w:szCs w:val="24"/>
              </w:rPr>
              <w:t>项目</w:t>
            </w:r>
            <w:r>
              <w:rPr>
                <w:rFonts w:ascii="Times New Roman" w:hAnsi="Times New Roman"/>
                <w:sz w:val="24"/>
                <w:szCs w:val="24"/>
              </w:rPr>
              <w:t>公司承担。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.建设期主要材料价格波动风险</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kern w:val="2"/>
                <w:sz w:val="24"/>
                <w:szCs w:val="24"/>
                <w:lang w:val="en-US"/>
              </w:rPr>
              <w:t>依据河南省交通主管部门相关文件执行。</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.施工技术风险</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公司承担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bottom w:val="single" w:color="auto" w:sz="8" w:space="0"/>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.建设质量风险</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公司承担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restart"/>
            <w:tcBorders>
              <w:top w:val="single" w:color="auto" w:sz="8" w:space="0"/>
              <w:left w:val="nil"/>
              <w:right w:val="single" w:color="000000" w:sz="6" w:space="0"/>
            </w:tcBorders>
            <w:vAlign w:val="center"/>
          </w:tcPr>
          <w:p>
            <w:pPr>
              <w:adjustRightInd w:val="0"/>
              <w:snapToGrid w:val="0"/>
              <w:spacing w:line="380" w:lineRule="exact"/>
              <w:ind w:firstLine="0" w:firstLineChars="0"/>
              <w:jc w:val="center"/>
              <w:rPr>
                <w:rFonts w:ascii="Times New Roman" w:hAnsi="Times New Roman"/>
                <w:sz w:val="24"/>
                <w:szCs w:val="24"/>
              </w:rPr>
            </w:pPr>
            <w:r>
              <w:rPr>
                <w:rFonts w:ascii="Times New Roman" w:hAnsi="Times New Roman"/>
                <w:sz w:val="24"/>
                <w:szCs w:val="24"/>
              </w:rPr>
              <w:t>资金、融资风险</w:t>
            </w: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.资金供应风险</w:t>
            </w:r>
          </w:p>
        </w:tc>
        <w:tc>
          <w:tcPr>
            <w:tcW w:w="4112" w:type="dxa"/>
            <w:tcBorders>
              <w:top w:val="single" w:color="auto" w:sz="8" w:space="0"/>
              <w:left w:val="single" w:color="auto" w:sz="8" w:space="0"/>
              <w:bottom w:val="single" w:color="auto" w:sz="8" w:space="0"/>
              <w:right w:val="nil"/>
            </w:tcBorders>
            <w:vAlign w:val="center"/>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公司</w:t>
            </w:r>
            <w:r>
              <w:rPr>
                <w:rFonts w:hint="eastAsia" w:ascii="Times New Roman" w:hAnsi="Times New Roman"/>
                <w:sz w:val="24"/>
                <w:szCs w:val="24"/>
              </w:rPr>
              <w:t>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9</w:t>
            </w:r>
            <w:r>
              <w:rPr>
                <w:rFonts w:ascii="Times New Roman" w:hAnsi="Times New Roman"/>
                <w:sz w:val="24"/>
                <w:szCs w:val="24"/>
              </w:rPr>
              <w:t>.基准利率变动风险</w:t>
            </w:r>
          </w:p>
        </w:tc>
        <w:tc>
          <w:tcPr>
            <w:tcW w:w="4112" w:type="dxa"/>
            <w:tcBorders>
              <w:top w:val="single" w:color="auto" w:sz="8" w:space="0"/>
              <w:left w:val="single" w:color="auto" w:sz="8" w:space="0"/>
              <w:bottom w:val="single" w:color="auto" w:sz="8" w:space="0"/>
              <w:right w:val="nil"/>
            </w:tcBorders>
            <w:vAlign w:val="center"/>
          </w:tcPr>
          <w:p>
            <w:pPr>
              <w:spacing w:line="240" w:lineRule="auto"/>
              <w:ind w:firstLine="0" w:firstLineChars="0"/>
              <w:rPr>
                <w:rFonts w:hint="eastAsia" w:ascii="Times New Roman" w:hAnsi="Times New Roman"/>
                <w:sz w:val="24"/>
                <w:szCs w:val="24"/>
              </w:rPr>
            </w:pPr>
            <w:r>
              <w:rPr>
                <w:rFonts w:hint="eastAsia" w:ascii="Times New Roman" w:hAnsi="Times New Roman"/>
                <w:sz w:val="24"/>
                <w:szCs w:val="24"/>
              </w:rPr>
              <w:t>政府方</w:t>
            </w:r>
            <w:r>
              <w:rPr>
                <w:rFonts w:ascii="Times New Roman" w:hAnsi="Times New Roman"/>
                <w:sz w:val="24"/>
                <w:szCs w:val="24"/>
              </w:rPr>
              <w:t>和</w:t>
            </w:r>
            <w:r>
              <w:rPr>
                <w:rFonts w:hint="eastAsia" w:ascii="Times New Roman" w:hAnsi="Times New Roman"/>
                <w:sz w:val="24"/>
                <w:szCs w:val="24"/>
              </w:rPr>
              <w:t>项目</w:t>
            </w:r>
            <w:r>
              <w:rPr>
                <w:rFonts w:ascii="Times New Roman" w:hAnsi="Times New Roman"/>
                <w:sz w:val="24"/>
                <w:szCs w:val="24"/>
              </w:rPr>
              <w:t>公司共同承担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restart"/>
            <w:tcBorders>
              <w:top w:val="single" w:color="auto" w:sz="8" w:space="0"/>
              <w:left w:val="nil"/>
              <w:bottom w:val="single" w:color="auto" w:sz="8" w:space="0"/>
              <w:right w:val="single" w:color="000000" w:sz="6" w:space="0"/>
            </w:tcBorders>
            <w:vAlign w:val="center"/>
          </w:tcPr>
          <w:p>
            <w:pPr>
              <w:adjustRightInd w:val="0"/>
              <w:snapToGrid w:val="0"/>
              <w:spacing w:line="380" w:lineRule="exact"/>
              <w:ind w:firstLine="0" w:firstLineChars="0"/>
              <w:jc w:val="center"/>
              <w:rPr>
                <w:rFonts w:ascii="Times New Roman" w:hAnsi="Times New Roman"/>
                <w:sz w:val="24"/>
                <w:szCs w:val="24"/>
              </w:rPr>
            </w:pPr>
            <w:r>
              <w:rPr>
                <w:rFonts w:ascii="Times New Roman" w:hAnsi="Times New Roman"/>
                <w:sz w:val="24"/>
                <w:szCs w:val="24"/>
              </w:rPr>
              <w:t>运营风险</w:t>
            </w: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w:t>
            </w:r>
            <w:r>
              <w:rPr>
                <w:rFonts w:hint="eastAsia" w:ascii="Times New Roman" w:hAnsi="Times New Roman"/>
                <w:sz w:val="24"/>
                <w:szCs w:val="24"/>
              </w:rPr>
              <w:t>因项目公司</w:t>
            </w:r>
            <w:r>
              <w:rPr>
                <w:rFonts w:ascii="Times New Roman" w:hAnsi="Times New Roman"/>
                <w:sz w:val="24"/>
                <w:szCs w:val="24"/>
              </w:rPr>
              <w:t>自身原因造成的实际年运营维护成本高于中选社会资本年运营维护成本报价的风险</w:t>
            </w:r>
          </w:p>
        </w:tc>
        <w:tc>
          <w:tcPr>
            <w:tcW w:w="4112" w:type="dxa"/>
            <w:tcBorders>
              <w:top w:val="single" w:color="auto" w:sz="8" w:space="0"/>
              <w:left w:val="single" w:color="auto" w:sz="8" w:space="0"/>
              <w:bottom w:val="single" w:color="auto" w:sz="8" w:space="0"/>
              <w:right w:val="nil"/>
            </w:tcBorders>
            <w:vAlign w:val="center"/>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公司承担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top w:val="single" w:color="auto" w:sz="8" w:space="0"/>
              <w:left w:val="nil"/>
              <w:bottom w:val="single" w:color="auto" w:sz="8" w:space="0"/>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1</w:t>
            </w:r>
            <w:r>
              <w:rPr>
                <w:rFonts w:ascii="Times New Roman" w:hAnsi="Times New Roman"/>
                <w:sz w:val="24"/>
                <w:szCs w:val="24"/>
              </w:rPr>
              <w:t>.由于管理问题造成年运营维护成本超支</w:t>
            </w:r>
          </w:p>
        </w:tc>
        <w:tc>
          <w:tcPr>
            <w:tcW w:w="4112" w:type="dxa"/>
            <w:tcBorders>
              <w:top w:val="single" w:color="auto" w:sz="8" w:space="0"/>
              <w:left w:val="single" w:color="auto" w:sz="8" w:space="0"/>
              <w:bottom w:val="single" w:color="auto" w:sz="8" w:space="0"/>
              <w:right w:val="nil"/>
            </w:tcBorders>
            <w:vAlign w:val="center"/>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公司承担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top w:val="single" w:color="auto" w:sz="8" w:space="0"/>
              <w:left w:val="nil"/>
              <w:bottom w:val="single" w:color="auto" w:sz="8" w:space="0"/>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2</w:t>
            </w:r>
            <w:r>
              <w:rPr>
                <w:rFonts w:ascii="Times New Roman" w:hAnsi="Times New Roman"/>
                <w:sz w:val="24"/>
                <w:szCs w:val="24"/>
              </w:rPr>
              <w:t>.运营维护期物价浮动导致年运营维护费浮动的风险</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合同期内因物价浮动导致运营维护费浮动风险由政府和</w:t>
            </w:r>
            <w:r>
              <w:rPr>
                <w:rFonts w:hint="eastAsia" w:ascii="Times New Roman" w:hAnsi="Times New Roman"/>
                <w:sz w:val="24"/>
                <w:szCs w:val="24"/>
              </w:rPr>
              <w:t>项目</w:t>
            </w:r>
            <w:r>
              <w:rPr>
                <w:rFonts w:ascii="Times New Roman" w:hAnsi="Times New Roman"/>
                <w:sz w:val="24"/>
                <w:szCs w:val="24"/>
              </w:rPr>
              <w:t>公司共同承担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restart"/>
            <w:tcBorders>
              <w:top w:val="single" w:color="auto" w:sz="8" w:space="0"/>
              <w:left w:val="nil"/>
              <w:right w:val="single" w:color="000000" w:sz="6" w:space="0"/>
            </w:tcBorders>
            <w:vAlign w:val="center"/>
          </w:tcPr>
          <w:p>
            <w:pPr>
              <w:adjustRightInd w:val="0"/>
              <w:snapToGrid w:val="0"/>
              <w:spacing w:line="380" w:lineRule="exact"/>
              <w:ind w:firstLine="0" w:firstLineChars="0"/>
              <w:jc w:val="center"/>
              <w:rPr>
                <w:rFonts w:ascii="Times New Roman" w:hAnsi="Times New Roman"/>
                <w:sz w:val="24"/>
                <w:szCs w:val="24"/>
              </w:rPr>
            </w:pPr>
            <w:r>
              <w:rPr>
                <w:rFonts w:ascii="Times New Roman" w:hAnsi="Times New Roman"/>
                <w:sz w:val="24"/>
                <w:szCs w:val="24"/>
              </w:rPr>
              <w:t>法律政策环境变更风险</w:t>
            </w: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lang w:val="en-US"/>
              </w:rPr>
              <w:t>3</w:t>
            </w:r>
            <w:r>
              <w:rPr>
                <w:rFonts w:ascii="Times New Roman" w:hAnsi="Times New Roman"/>
                <w:sz w:val="24"/>
                <w:szCs w:val="24"/>
              </w:rPr>
              <w:t>.对项目环境保护或项目运营维护标准等方面要求的提高，导致项目公司必须投入改造费用或增加年运营维护成本</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一次投入或年运营维护成本增加超过中选社会资本年运营维护成本报价的10%内（含10%）由</w:t>
            </w:r>
            <w:r>
              <w:rPr>
                <w:rFonts w:hint="eastAsia" w:ascii="Times New Roman" w:hAnsi="Times New Roman"/>
                <w:sz w:val="24"/>
                <w:szCs w:val="24"/>
              </w:rPr>
              <w:t>项目</w:t>
            </w:r>
            <w:r>
              <w:rPr>
                <w:rFonts w:ascii="Times New Roman" w:hAnsi="Times New Roman"/>
                <w:sz w:val="24"/>
                <w:szCs w:val="24"/>
              </w:rPr>
              <w:t>公司承担，超出10%的部分政府方承担。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left w:val="nil"/>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lang w:val="en-US"/>
              </w:rPr>
              <w:t>4</w:t>
            </w:r>
            <w:r>
              <w:rPr>
                <w:rFonts w:ascii="Times New Roman" w:hAnsi="Times New Roman"/>
                <w:sz w:val="24"/>
                <w:szCs w:val="24"/>
              </w:rPr>
              <w:t>.国家税收等政策调整引起的税费变化</w:t>
            </w:r>
          </w:p>
        </w:tc>
        <w:tc>
          <w:tcPr>
            <w:tcW w:w="4112" w:type="dxa"/>
            <w:tcBorders>
              <w:top w:val="single" w:color="auto" w:sz="8" w:space="0"/>
              <w:left w:val="single" w:color="auto" w:sz="8" w:space="0"/>
              <w:bottom w:val="single" w:color="auto" w:sz="8" w:space="0"/>
              <w:right w:val="nil"/>
            </w:tcBorders>
            <w:vAlign w:val="center"/>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政府方承担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restart"/>
            <w:tcBorders>
              <w:top w:val="single" w:color="auto" w:sz="8" w:space="0"/>
              <w:left w:val="nil"/>
              <w:bottom w:val="single" w:color="auto" w:sz="8" w:space="0"/>
              <w:right w:val="single" w:color="000000" w:sz="6" w:space="0"/>
            </w:tcBorders>
            <w:vAlign w:val="center"/>
          </w:tcPr>
          <w:p>
            <w:pPr>
              <w:adjustRightInd w:val="0"/>
              <w:snapToGrid w:val="0"/>
              <w:spacing w:line="380" w:lineRule="exact"/>
              <w:ind w:firstLine="0" w:firstLineChars="0"/>
              <w:jc w:val="center"/>
              <w:rPr>
                <w:rFonts w:ascii="Times New Roman" w:hAnsi="Times New Roman"/>
                <w:sz w:val="24"/>
                <w:szCs w:val="24"/>
              </w:rPr>
            </w:pPr>
            <w:r>
              <w:rPr>
                <w:rFonts w:ascii="Times New Roman" w:hAnsi="Times New Roman"/>
                <w:sz w:val="24"/>
                <w:szCs w:val="24"/>
              </w:rPr>
              <w:t>移交风险</w:t>
            </w: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w:t>
            </w:r>
            <w:r>
              <w:rPr>
                <w:rFonts w:ascii="Times New Roman" w:hAnsi="Times New Roman"/>
                <w:sz w:val="24"/>
                <w:szCs w:val="24"/>
              </w:rPr>
              <w:t>.政府提前征收、征用</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政府按照PPP项目合同约定给予</w:t>
            </w:r>
            <w:r>
              <w:rPr>
                <w:rFonts w:hint="eastAsia" w:ascii="Times New Roman" w:hAnsi="Times New Roman"/>
                <w:sz w:val="24"/>
                <w:szCs w:val="24"/>
              </w:rPr>
              <w:t>项目</w:t>
            </w:r>
            <w:r>
              <w:rPr>
                <w:rFonts w:ascii="Times New Roman" w:hAnsi="Times New Roman"/>
                <w:sz w:val="24"/>
                <w:szCs w:val="24"/>
              </w:rPr>
              <w:t>公司一定补偿</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top w:val="single" w:color="auto" w:sz="8" w:space="0"/>
              <w:left w:val="nil"/>
              <w:bottom w:val="single" w:color="auto" w:sz="8" w:space="0"/>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6</w:t>
            </w:r>
            <w:r>
              <w:rPr>
                <w:rFonts w:ascii="Times New Roman" w:hAnsi="Times New Roman"/>
                <w:sz w:val="24"/>
                <w:szCs w:val="24"/>
              </w:rPr>
              <w:t>.政府严重违约导致提前终止PPP项目合同</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政府向</w:t>
            </w:r>
            <w:r>
              <w:rPr>
                <w:rFonts w:hint="eastAsia" w:ascii="Times New Roman" w:hAnsi="Times New Roman"/>
                <w:sz w:val="24"/>
                <w:szCs w:val="24"/>
              </w:rPr>
              <w:t>项目</w:t>
            </w:r>
            <w:r>
              <w:rPr>
                <w:rFonts w:ascii="Times New Roman" w:hAnsi="Times New Roman"/>
                <w:sz w:val="24"/>
                <w:szCs w:val="24"/>
              </w:rPr>
              <w:t>公司支付</w:t>
            </w:r>
            <w:r>
              <w:rPr>
                <w:rFonts w:hint="eastAsia" w:ascii="Times New Roman" w:hAnsi="Times New Roman"/>
                <w:sz w:val="24"/>
                <w:szCs w:val="24"/>
                <w:lang w:val="en-US"/>
              </w:rPr>
              <w:t>补偿金</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top w:val="single" w:color="auto" w:sz="8" w:space="0"/>
              <w:left w:val="nil"/>
              <w:bottom w:val="single" w:color="auto" w:sz="8" w:space="0"/>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7</w:t>
            </w:r>
            <w:r>
              <w:rPr>
                <w:rFonts w:ascii="Times New Roman" w:hAnsi="Times New Roman"/>
                <w:sz w:val="24"/>
                <w:szCs w:val="24"/>
              </w:rPr>
              <w:t>.因项目公司或社会资本严重违约导致提前终止PPP项目合同</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政府可以选择收</w:t>
            </w:r>
            <w:r>
              <w:rPr>
                <w:rFonts w:hint="eastAsia" w:ascii="Times New Roman" w:hAnsi="Times New Roman"/>
                <w:sz w:val="24"/>
                <w:szCs w:val="24"/>
              </w:rPr>
              <w:t>回</w:t>
            </w:r>
            <w:r>
              <w:rPr>
                <w:rFonts w:ascii="Times New Roman" w:hAnsi="Times New Roman"/>
                <w:sz w:val="24"/>
                <w:szCs w:val="24"/>
              </w:rPr>
              <w:t>项目，并就收</w:t>
            </w:r>
            <w:r>
              <w:rPr>
                <w:rFonts w:hint="eastAsia" w:ascii="Times New Roman" w:hAnsi="Times New Roman"/>
                <w:sz w:val="24"/>
                <w:szCs w:val="24"/>
              </w:rPr>
              <w:t>回</w:t>
            </w:r>
            <w:r>
              <w:rPr>
                <w:rFonts w:ascii="Times New Roman" w:hAnsi="Times New Roman"/>
                <w:sz w:val="24"/>
                <w:szCs w:val="24"/>
              </w:rPr>
              <w:t>提供相应补偿。收</w:t>
            </w:r>
            <w:r>
              <w:rPr>
                <w:rFonts w:hint="eastAsia" w:ascii="Times New Roman" w:hAnsi="Times New Roman"/>
                <w:sz w:val="24"/>
                <w:szCs w:val="24"/>
              </w:rPr>
              <w:t>回</w:t>
            </w:r>
            <w:r>
              <w:rPr>
                <w:rFonts w:ascii="Times New Roman" w:hAnsi="Times New Roman"/>
                <w:sz w:val="24"/>
                <w:szCs w:val="24"/>
              </w:rPr>
              <w:t>补偿计算应尽可能避免政府不当得利并且能够吸引融资方的项目融资，还要扣减政府因该终止而产生的相关费用和损失</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top w:val="single" w:color="auto" w:sz="8" w:space="0"/>
              <w:left w:val="nil"/>
              <w:bottom w:val="single" w:color="auto" w:sz="8" w:space="0"/>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18</w:t>
            </w:r>
            <w:r>
              <w:rPr>
                <w:rFonts w:ascii="Times New Roman" w:hAnsi="Times New Roman"/>
                <w:sz w:val="24"/>
                <w:szCs w:val="24"/>
              </w:rPr>
              <w:t>.项目移交时达不到项目移交标准要求</w:t>
            </w:r>
          </w:p>
        </w:tc>
        <w:tc>
          <w:tcPr>
            <w:tcW w:w="4112" w:type="dxa"/>
            <w:tcBorders>
              <w:top w:val="single" w:color="auto" w:sz="8" w:space="0"/>
              <w:left w:val="single" w:color="auto" w:sz="8" w:space="0"/>
              <w:bottom w:val="single" w:color="auto" w:sz="8" w:space="0"/>
              <w:right w:val="nil"/>
            </w:tcBorders>
            <w:vAlign w:val="center"/>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公司承担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restart"/>
            <w:tcBorders>
              <w:top w:val="single" w:color="auto" w:sz="8" w:space="0"/>
              <w:left w:val="nil"/>
              <w:bottom w:val="single" w:color="000000" w:sz="12" w:space="0"/>
              <w:right w:val="single" w:color="000000" w:sz="6" w:space="0"/>
            </w:tcBorders>
            <w:vAlign w:val="center"/>
          </w:tcPr>
          <w:p>
            <w:pPr>
              <w:adjustRightInd w:val="0"/>
              <w:snapToGrid w:val="0"/>
              <w:spacing w:line="380" w:lineRule="exact"/>
              <w:ind w:firstLine="0" w:firstLineChars="0"/>
              <w:jc w:val="center"/>
              <w:rPr>
                <w:rFonts w:ascii="Times New Roman" w:hAnsi="Times New Roman"/>
                <w:sz w:val="24"/>
                <w:szCs w:val="24"/>
              </w:rPr>
            </w:pPr>
            <w:r>
              <w:rPr>
                <w:rFonts w:ascii="Times New Roman" w:hAnsi="Times New Roman"/>
                <w:sz w:val="24"/>
                <w:szCs w:val="24"/>
              </w:rPr>
              <w:t>不可抗力</w:t>
            </w:r>
          </w:p>
        </w:tc>
        <w:tc>
          <w:tcPr>
            <w:tcW w:w="3314" w:type="dxa"/>
            <w:tcBorders>
              <w:top w:val="single" w:color="auto" w:sz="8" w:space="0"/>
              <w:left w:val="single" w:color="auto" w:sz="8" w:space="0"/>
              <w:bottom w:val="single" w:color="auto" w:sz="8"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hint="eastAsia" w:ascii="Times New Roman" w:hAnsi="Times New Roman"/>
                <w:sz w:val="24"/>
                <w:szCs w:val="24"/>
              </w:rPr>
              <w:t>19</w:t>
            </w:r>
            <w:r>
              <w:rPr>
                <w:rFonts w:ascii="Times New Roman" w:hAnsi="Times New Roman"/>
                <w:sz w:val="24"/>
                <w:szCs w:val="24"/>
              </w:rPr>
              <w:t>.政治不可抗力</w:t>
            </w:r>
          </w:p>
        </w:tc>
        <w:tc>
          <w:tcPr>
            <w:tcW w:w="4112" w:type="dxa"/>
            <w:tcBorders>
              <w:top w:val="single" w:color="auto" w:sz="8" w:space="0"/>
              <w:left w:val="single" w:color="auto" w:sz="8" w:space="0"/>
              <w:bottom w:val="single" w:color="auto" w:sz="8"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政府方和</w:t>
            </w:r>
            <w:r>
              <w:rPr>
                <w:rFonts w:hint="eastAsia" w:ascii="Times New Roman" w:hAnsi="Times New Roman"/>
                <w:sz w:val="24"/>
                <w:szCs w:val="24"/>
              </w:rPr>
              <w:t>项目</w:t>
            </w:r>
            <w:r>
              <w:rPr>
                <w:rFonts w:ascii="Times New Roman" w:hAnsi="Times New Roman"/>
                <w:sz w:val="24"/>
                <w:szCs w:val="24"/>
              </w:rPr>
              <w:t>公司共担</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90" w:type="dxa"/>
            <w:vMerge w:val="continue"/>
            <w:tcBorders>
              <w:top w:val="single" w:color="auto" w:sz="8" w:space="0"/>
              <w:left w:val="nil"/>
              <w:bottom w:val="single" w:color="000000" w:sz="12" w:space="0"/>
              <w:right w:val="single" w:color="000000" w:sz="6" w:space="0"/>
            </w:tcBorders>
            <w:vAlign w:val="center"/>
          </w:tcPr>
          <w:p>
            <w:pPr>
              <w:spacing w:line="240" w:lineRule="auto"/>
              <w:ind w:firstLine="0" w:firstLineChars="0"/>
              <w:rPr>
                <w:rFonts w:ascii="Times New Roman" w:hAnsi="Times New Roman"/>
                <w:sz w:val="24"/>
                <w:szCs w:val="24"/>
              </w:rPr>
            </w:pPr>
          </w:p>
        </w:tc>
        <w:tc>
          <w:tcPr>
            <w:tcW w:w="3314" w:type="dxa"/>
            <w:tcBorders>
              <w:top w:val="single" w:color="auto" w:sz="8" w:space="0"/>
              <w:left w:val="single" w:color="auto" w:sz="8" w:space="0"/>
              <w:bottom w:val="single" w:color="000000" w:sz="12" w:space="0"/>
              <w:right w:val="single" w:color="auto" w:sz="8" w:space="0"/>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0</w:t>
            </w:r>
            <w:r>
              <w:rPr>
                <w:rFonts w:ascii="Times New Roman" w:hAnsi="Times New Roman"/>
                <w:sz w:val="24"/>
                <w:szCs w:val="24"/>
              </w:rPr>
              <w:t>.自然不可抗力</w:t>
            </w:r>
          </w:p>
        </w:tc>
        <w:tc>
          <w:tcPr>
            <w:tcW w:w="4112" w:type="dxa"/>
            <w:tcBorders>
              <w:top w:val="single" w:color="auto" w:sz="8" w:space="0"/>
              <w:left w:val="single" w:color="auto" w:sz="8" w:space="0"/>
              <w:bottom w:val="single" w:color="000000" w:sz="12" w:space="0"/>
              <w:right w:val="nil"/>
            </w:tcBorders>
            <w:vAlign w:val="top"/>
          </w:tcPr>
          <w:p>
            <w:pPr>
              <w:adjustRightInd w:val="0"/>
              <w:snapToGrid w:val="0"/>
              <w:spacing w:line="380" w:lineRule="exact"/>
              <w:ind w:firstLine="0" w:firstLineChars="0"/>
              <w:jc w:val="both"/>
              <w:rPr>
                <w:rFonts w:ascii="Times New Roman" w:hAnsi="Times New Roman"/>
                <w:sz w:val="24"/>
                <w:szCs w:val="24"/>
              </w:rPr>
            </w:pPr>
            <w:r>
              <w:rPr>
                <w:rFonts w:ascii="Times New Roman" w:hAnsi="Times New Roman"/>
                <w:sz w:val="24"/>
                <w:szCs w:val="24"/>
              </w:rPr>
              <w:t>政府方和</w:t>
            </w:r>
            <w:r>
              <w:rPr>
                <w:rFonts w:hint="eastAsia" w:ascii="Times New Roman" w:hAnsi="Times New Roman"/>
                <w:sz w:val="24"/>
                <w:szCs w:val="24"/>
              </w:rPr>
              <w:t>项目</w:t>
            </w:r>
            <w:r>
              <w:rPr>
                <w:rFonts w:ascii="Times New Roman" w:hAnsi="Times New Roman"/>
                <w:sz w:val="24"/>
                <w:szCs w:val="24"/>
              </w:rPr>
              <w:t>公司共担</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center"/>
        <w:textAlignment w:val="auto"/>
        <w:rPr>
          <w:b/>
          <w:bCs/>
          <w:color w:val="auto"/>
        </w:rPr>
      </w:pPr>
      <w:bookmarkStart w:id="64" w:name="_Toc437271280"/>
      <w:r>
        <w:rPr>
          <w:rFonts w:hint="eastAsia"/>
          <w:b/>
          <w:bCs/>
          <w:color w:val="auto"/>
        </w:rPr>
        <w:t>三、项目运作方式</w:t>
      </w:r>
      <w:bookmarkEnd w:id="64"/>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eastAsia="zh-CN"/>
        </w:rPr>
      </w:pPr>
      <w:bookmarkStart w:id="65" w:name="_Toc437271281"/>
      <w:r>
        <w:rPr>
          <w:rFonts w:hint="eastAsia" w:ascii="Times New Roman" w:hAnsi="Times New Roman"/>
          <w:sz w:val="24"/>
          <w:szCs w:val="24"/>
          <w:lang w:val="en-US" w:eastAsia="zh-CN"/>
        </w:rPr>
        <w:t>运作模式：采用PPP的运作模式。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b/>
          <w:bCs/>
          <w:color w:val="auto"/>
        </w:rPr>
      </w:pPr>
      <w:r>
        <w:rPr>
          <w:rFonts w:hint="eastAsia"/>
          <w:b/>
          <w:bCs/>
          <w:color w:val="auto"/>
          <w:lang w:val="en-US" w:eastAsia="zh-CN"/>
        </w:rPr>
        <w:t>四、</w:t>
      </w:r>
      <w:r>
        <w:rPr>
          <w:rFonts w:hint="eastAsia"/>
          <w:b/>
          <w:bCs/>
          <w:color w:val="auto"/>
        </w:rPr>
        <w:t>交易结构</w:t>
      </w:r>
      <w:bookmarkEnd w:id="65"/>
    </w:p>
    <w:p>
      <w:pPr>
        <w:pStyle w:val="59"/>
        <w:pageBreakBefore w:val="0"/>
        <w:widowControl w:val="0"/>
        <w:numPr>
          <w:ilvl w:val="0"/>
          <w:numId w:val="0"/>
        </w:numPr>
        <w:kinsoku/>
        <w:wordWrap/>
        <w:overflowPunct/>
        <w:topLinePunct w:val="0"/>
        <w:autoSpaceDE/>
        <w:autoSpaceDN/>
        <w:bidi w:val="0"/>
        <w:adjustRightInd/>
        <w:snapToGrid/>
        <w:spacing w:before="0" w:after="0" w:line="360" w:lineRule="auto"/>
        <w:ind w:right="0" w:rightChars="0"/>
        <w:textAlignment w:val="auto"/>
        <w:rPr>
          <w:b/>
          <w:bCs w:val="0"/>
          <w:sz w:val="21"/>
          <w:szCs w:val="21"/>
        </w:rPr>
      </w:pPr>
      <w:bookmarkStart w:id="66" w:name="_Toc436299631"/>
      <w:bookmarkStart w:id="67" w:name="_Toc437271282"/>
      <w:bookmarkStart w:id="68" w:name="_Toc435904260"/>
      <w:r>
        <w:rPr>
          <w:rFonts w:hint="eastAsia"/>
          <w:b/>
          <w:bCs w:val="0"/>
          <w:sz w:val="21"/>
          <w:szCs w:val="21"/>
        </w:rPr>
        <w:t>4.1</w:t>
      </w:r>
      <w:r>
        <w:rPr>
          <w:rFonts w:hint="eastAsia"/>
          <w:b/>
          <w:bCs w:val="0"/>
          <w:sz w:val="21"/>
          <w:szCs w:val="21"/>
        </w:rPr>
        <w:tab/>
      </w:r>
      <w:r>
        <w:rPr>
          <w:rFonts w:hint="eastAsia"/>
          <w:b/>
          <w:bCs w:val="0"/>
          <w:sz w:val="21"/>
          <w:szCs w:val="21"/>
        </w:rPr>
        <w:t>投融资结构</w:t>
      </w:r>
      <w:bookmarkEnd w:id="66"/>
      <w:bookmarkEnd w:id="67"/>
      <w:bookmarkEnd w:id="68"/>
    </w:p>
    <w:p>
      <w:pPr>
        <w:pageBreakBefore w:val="0"/>
        <w:kinsoku/>
        <w:bidi w:val="0"/>
        <w:spacing w:line="360" w:lineRule="auto"/>
        <w:ind w:firstLine="480"/>
        <w:textAlignment w:val="auto"/>
        <w:rPr>
          <w:sz w:val="21"/>
          <w:szCs w:val="21"/>
        </w:rPr>
      </w:pPr>
      <w:r>
        <w:rPr>
          <w:rFonts w:hint="eastAsia"/>
          <w:sz w:val="21"/>
          <w:szCs w:val="21"/>
        </w:rPr>
        <w:t>4.1.1投资结构</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eastAsia="zh-CN"/>
        </w:rPr>
        <w:t>登封市人民政府</w:t>
      </w:r>
      <w:r>
        <w:rPr>
          <w:rFonts w:hint="eastAsia" w:ascii="Times New Roman" w:hAnsi="Times New Roman"/>
          <w:sz w:val="24"/>
          <w:szCs w:val="24"/>
          <w:lang w:val="en-US"/>
        </w:rPr>
        <w:t>授权</w:t>
      </w:r>
      <w:r>
        <w:rPr>
          <w:rFonts w:hint="eastAsia" w:ascii="Times New Roman" w:hAnsi="Times New Roman"/>
          <w:sz w:val="24"/>
          <w:szCs w:val="24"/>
          <w:lang w:val="en-US" w:eastAsia="zh-CN"/>
        </w:rPr>
        <w:t>登封豫资建设发展有限公司</w:t>
      </w:r>
      <w:r>
        <w:rPr>
          <w:rFonts w:hint="eastAsia" w:ascii="Times New Roman" w:hAnsi="Times New Roman"/>
          <w:sz w:val="24"/>
          <w:szCs w:val="24"/>
          <w:lang w:val="en-US"/>
        </w:rPr>
        <w:t>作为PPP 项目中的政府方出资代表，与社会资本共同新设项目公司。中选社会资本占股比例为9</w:t>
      </w:r>
      <w:r>
        <w:rPr>
          <w:rFonts w:hint="eastAsia" w:ascii="Times New Roman" w:hAnsi="Times New Roman"/>
          <w:sz w:val="24"/>
          <w:szCs w:val="24"/>
          <w:lang w:val="en-US" w:eastAsia="zh-CN"/>
        </w:rPr>
        <w:t>5</w:t>
      </w:r>
      <w:r>
        <w:rPr>
          <w:rFonts w:hint="eastAsia" w:ascii="Times New Roman" w:hAnsi="Times New Roman"/>
          <w:sz w:val="24"/>
          <w:szCs w:val="24"/>
          <w:lang w:val="en-US"/>
        </w:rPr>
        <w:t>%，</w:t>
      </w:r>
      <w:r>
        <w:rPr>
          <w:rFonts w:hint="eastAsia" w:ascii="Times New Roman" w:hAnsi="Times New Roman"/>
          <w:sz w:val="24"/>
          <w:szCs w:val="24"/>
          <w:lang w:val="en-US" w:eastAsia="zh-CN"/>
        </w:rPr>
        <w:t>登封豫资建设发展有限公司</w:t>
      </w:r>
      <w:r>
        <w:rPr>
          <w:rFonts w:hint="eastAsia" w:ascii="Times New Roman" w:hAnsi="Times New Roman"/>
          <w:sz w:val="24"/>
          <w:szCs w:val="24"/>
          <w:lang w:val="en-US"/>
        </w:rPr>
        <w:t>占股比例为</w:t>
      </w:r>
      <w:r>
        <w:rPr>
          <w:rFonts w:hint="eastAsia" w:ascii="Times New Roman" w:hAnsi="Times New Roman"/>
          <w:sz w:val="24"/>
          <w:szCs w:val="24"/>
          <w:lang w:val="en-US" w:eastAsia="zh-CN"/>
        </w:rPr>
        <w:t>5</w:t>
      </w:r>
      <w:r>
        <w:rPr>
          <w:rFonts w:hint="eastAsia" w:ascii="Times New Roman" w:hAnsi="Times New Roman"/>
          <w:sz w:val="24"/>
          <w:szCs w:val="24"/>
          <w:lang w:val="en-US"/>
        </w:rPr>
        <w:t>%。</w:t>
      </w:r>
    </w:p>
    <w:p>
      <w:pPr>
        <w:pageBreakBefore w:val="0"/>
        <w:kinsoku/>
        <w:bidi w:val="0"/>
        <w:spacing w:line="360" w:lineRule="auto"/>
        <w:ind w:firstLine="480"/>
        <w:textAlignment w:val="auto"/>
        <w:rPr>
          <w:sz w:val="21"/>
          <w:szCs w:val="21"/>
        </w:rPr>
      </w:pPr>
      <w:r>
        <w:rPr>
          <w:rFonts w:hint="eastAsia"/>
          <w:sz w:val="21"/>
          <w:szCs w:val="21"/>
        </w:rPr>
        <w:t>4.1.2融资方式</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根据《国务院关于调整和完善固定资产投资项目资本金制度的通知》（国发[2015]51号），交通项目最低资本金比例由25%调整为20%。结合本项目情况，本项目的资本金确定为项目投资总额的20%，其他资金可以通过银行贷款、股东借款等方式集筹。</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本项目估算总投资为84515.67万元，建安费用下浮1%，下浮后总投资为83926.60万元；结合本项目实际情况，项目建设期1.5年，拟定资金投入时序比例33%、67%，将产生约2822.25万元的项目建设期贷款利息，因此，本项目全部建设成本为86748.85万元。</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项目总投资拟分别采用项目资本金和银行贷款方式，其中拟定银行贷款69398.91万元（贷款比例为80%）；项目资本金17349.95万元（资本金比例为20%）。</w:t>
      </w:r>
    </w:p>
    <w:p>
      <w:pPr>
        <w:spacing w:line="240" w:lineRule="auto"/>
        <w:ind w:firstLine="0" w:firstLineChars="0"/>
        <w:jc w:val="center"/>
        <w:rPr>
          <w:rFonts w:ascii="Times New Roman" w:hAnsi="Times New Roman" w:eastAsia="仿宋"/>
          <w:b/>
          <w:sz w:val="21"/>
          <w:szCs w:val="21"/>
          <w:lang w:val="en-US"/>
        </w:rPr>
      </w:pPr>
      <w:r>
        <w:rPr>
          <w:rFonts w:ascii="Times New Roman" w:hAnsi="Times New Roman"/>
          <w:b/>
          <w:sz w:val="21"/>
          <w:szCs w:val="21"/>
          <w:lang w:val="en-US"/>
        </w:rPr>
        <w:t xml:space="preserve">表5-1  </w:t>
      </w:r>
      <w:r>
        <w:rPr>
          <w:rFonts w:ascii="Times New Roman" w:hAnsi="Times New Roman" w:eastAsia="仿宋"/>
          <w:b/>
          <w:sz w:val="21"/>
          <w:szCs w:val="21"/>
          <w:lang w:val="en-US"/>
        </w:rPr>
        <w:t>项目资金构成</w:t>
      </w:r>
    </w:p>
    <w:p>
      <w:pPr>
        <w:spacing w:line="240" w:lineRule="auto"/>
        <w:ind w:firstLine="0" w:firstLineChars="0"/>
        <w:jc w:val="center"/>
        <w:rPr>
          <w:rFonts w:ascii="Times New Roman" w:hAnsi="Times New Roman" w:eastAsia="仿宋"/>
          <w:b/>
          <w:sz w:val="21"/>
          <w:szCs w:val="21"/>
          <w:lang w:val="en-US"/>
        </w:rPr>
      </w:pPr>
      <w:r>
        <w:rPr>
          <w:rFonts w:hint="eastAsia" w:ascii="Times New Roman" w:hAnsi="Times New Roman" w:eastAsia="仿宋"/>
          <w:b/>
          <w:sz w:val="21"/>
          <w:szCs w:val="21"/>
          <w:lang w:val="en-US" w:eastAsia="zh-CN"/>
        </w:rPr>
        <w:t xml:space="preserve">                                                                  </w:t>
      </w:r>
      <w:r>
        <w:rPr>
          <w:rFonts w:ascii="Times New Roman" w:hAnsi="Times New Roman" w:eastAsia="仿宋"/>
          <w:b/>
          <w:sz w:val="21"/>
          <w:szCs w:val="21"/>
          <w:lang w:val="en-US"/>
        </w:rPr>
        <w:t>单位：万元</w:t>
      </w:r>
    </w:p>
    <w:tbl>
      <w:tblPr>
        <w:tblStyle w:val="44"/>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08"/>
        <w:gridCol w:w="1766"/>
        <w:gridCol w:w="1866"/>
        <w:gridCol w:w="1509"/>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4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rPr>
              <w:t>序号</w:t>
            </w:r>
          </w:p>
        </w:tc>
        <w:tc>
          <w:tcPr>
            <w:tcW w:w="1508"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资金来源</w:t>
            </w:r>
          </w:p>
        </w:tc>
        <w:tc>
          <w:tcPr>
            <w:tcW w:w="17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第一期（6个月）</w:t>
            </w:r>
          </w:p>
        </w:tc>
        <w:tc>
          <w:tcPr>
            <w:tcW w:w="18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第二期（12个月）</w:t>
            </w:r>
          </w:p>
        </w:tc>
        <w:tc>
          <w:tcPr>
            <w:tcW w:w="1509"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合计</w:t>
            </w:r>
          </w:p>
        </w:tc>
        <w:tc>
          <w:tcPr>
            <w:tcW w:w="113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40" w:type="dxa"/>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508"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贷款</w:t>
            </w:r>
          </w:p>
        </w:tc>
        <w:tc>
          <w:tcPr>
            <w:tcW w:w="17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23132.97</w:t>
            </w:r>
          </w:p>
        </w:tc>
        <w:tc>
          <w:tcPr>
            <w:tcW w:w="18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46265.94</w:t>
            </w:r>
          </w:p>
        </w:tc>
        <w:tc>
          <w:tcPr>
            <w:tcW w:w="1509"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69398.91</w:t>
            </w:r>
          </w:p>
        </w:tc>
        <w:tc>
          <w:tcPr>
            <w:tcW w:w="113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40" w:type="dxa"/>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1508"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项目资本金</w:t>
            </w:r>
          </w:p>
        </w:tc>
        <w:tc>
          <w:tcPr>
            <w:tcW w:w="17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4842.56</w:t>
            </w:r>
          </w:p>
        </w:tc>
        <w:tc>
          <w:tcPr>
            <w:tcW w:w="18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12507.38</w:t>
            </w:r>
          </w:p>
        </w:tc>
        <w:tc>
          <w:tcPr>
            <w:tcW w:w="1509"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17349.95</w:t>
            </w:r>
          </w:p>
        </w:tc>
        <w:tc>
          <w:tcPr>
            <w:tcW w:w="113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4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2.1</w:t>
            </w:r>
          </w:p>
        </w:tc>
        <w:tc>
          <w:tcPr>
            <w:tcW w:w="1508"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政府出资</w:t>
            </w:r>
            <w:r>
              <w:rPr>
                <w:rFonts w:hint="default" w:ascii="宋体" w:hAnsi="宋体" w:eastAsia="宋体" w:cs="宋体"/>
                <w:sz w:val="21"/>
                <w:szCs w:val="21"/>
                <w:lang w:val="en-US"/>
              </w:rPr>
              <w:t>代表</w:t>
            </w:r>
            <w:r>
              <w:rPr>
                <w:rFonts w:hint="eastAsia" w:ascii="宋体" w:hAnsi="宋体" w:eastAsia="宋体" w:cs="宋体"/>
                <w:sz w:val="21"/>
                <w:szCs w:val="21"/>
                <w:lang w:val="en-US"/>
              </w:rPr>
              <w:t>出资</w:t>
            </w:r>
          </w:p>
        </w:tc>
        <w:tc>
          <w:tcPr>
            <w:tcW w:w="17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289.10</w:t>
            </w:r>
          </w:p>
        </w:tc>
        <w:tc>
          <w:tcPr>
            <w:tcW w:w="18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578.20</w:t>
            </w:r>
          </w:p>
        </w:tc>
        <w:tc>
          <w:tcPr>
            <w:tcW w:w="1509"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867.30</w:t>
            </w:r>
          </w:p>
        </w:tc>
        <w:tc>
          <w:tcPr>
            <w:tcW w:w="113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4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2.2</w:t>
            </w:r>
          </w:p>
        </w:tc>
        <w:tc>
          <w:tcPr>
            <w:tcW w:w="1508"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社会资本出资</w:t>
            </w:r>
          </w:p>
        </w:tc>
        <w:tc>
          <w:tcPr>
            <w:tcW w:w="17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4553.46</w:t>
            </w:r>
          </w:p>
        </w:tc>
        <w:tc>
          <w:tcPr>
            <w:tcW w:w="18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11929.18</w:t>
            </w:r>
          </w:p>
        </w:tc>
        <w:tc>
          <w:tcPr>
            <w:tcW w:w="1509"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16482.64</w:t>
            </w:r>
          </w:p>
        </w:tc>
        <w:tc>
          <w:tcPr>
            <w:tcW w:w="113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40" w:type="dxa"/>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1508"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合计</w:t>
            </w:r>
          </w:p>
        </w:tc>
        <w:tc>
          <w:tcPr>
            <w:tcW w:w="17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27975.53</w:t>
            </w:r>
          </w:p>
        </w:tc>
        <w:tc>
          <w:tcPr>
            <w:tcW w:w="186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58773.32</w:t>
            </w:r>
          </w:p>
        </w:tc>
        <w:tc>
          <w:tcPr>
            <w:tcW w:w="1509"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bookmarkStart w:id="69" w:name="RANGE!E7"/>
            <w:r>
              <w:rPr>
                <w:rFonts w:hint="eastAsia" w:ascii="宋体" w:hAnsi="宋体" w:eastAsia="宋体" w:cs="宋体"/>
                <w:sz w:val="21"/>
                <w:szCs w:val="21"/>
                <w:lang w:val="en-US"/>
              </w:rPr>
              <w:t>86748.85</w:t>
            </w:r>
            <w:bookmarkEnd w:id="69"/>
          </w:p>
        </w:tc>
        <w:tc>
          <w:tcPr>
            <w:tcW w:w="113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100%</w:t>
            </w:r>
          </w:p>
        </w:tc>
      </w:tr>
    </w:tbl>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项目实施机构有权依据建设实际需求对项目公司的融资情况、建设资金到位情况及支付使用情况全过程进行监督。项目公司成立后，应开设建设资金专户，专款专用、专户存储，并接受项目实施机构的监管。项目公司应按计划进度安排计量支付工程款。严禁超计划支付或者将建设资金用于项目外工程。</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社会资本应确保项目公司能够按照社会资本投标文件中所提供的融资方案或以更优惠的融资条件在PPP项目合同正式签署后九十个工作日内完成项目融资交割。</w:t>
      </w:r>
      <w:bookmarkStart w:id="70" w:name="_Toc504637062"/>
    </w:p>
    <w:p>
      <w:pPr>
        <w:jc w:val="both"/>
        <w:rPr>
          <w:rFonts w:ascii="Times New Roman"/>
          <w:sz w:val="21"/>
          <w:szCs w:val="21"/>
        </w:rPr>
      </w:pPr>
      <w:r>
        <w:rPr>
          <w:rFonts w:hint="eastAsia" w:ascii="Times New Roman"/>
          <w:sz w:val="21"/>
          <w:szCs w:val="21"/>
          <w:lang w:val="en-US" w:eastAsia="zh-CN"/>
        </w:rPr>
        <w:t>4</w:t>
      </w:r>
      <w:r>
        <w:rPr>
          <w:rFonts w:hint="eastAsia" w:ascii="Times New Roman"/>
          <w:sz w:val="21"/>
          <w:szCs w:val="21"/>
        </w:rPr>
        <w:t>.1.3</w:t>
      </w:r>
      <w:r>
        <w:rPr>
          <w:rFonts w:ascii="Times New Roman"/>
          <w:sz w:val="21"/>
          <w:szCs w:val="21"/>
        </w:rPr>
        <w:t>本项目计息原则</w:t>
      </w:r>
      <w:bookmarkEnd w:id="70"/>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在建设期内，应根据跟踪审计单位审计后每个月度完成的工程投资额作为时间节点计息。计息时间为每个月度工程投资额完成的时间节点至建设期结束。计息基数为项目公司完成的工程投资额的80%，计息利率以实际发生利率计算，但最多不得超过5.39%（含），超过部分由项目公司承担。</w:t>
      </w:r>
      <w:bookmarkStart w:id="71" w:name="_Toc504637063"/>
    </w:p>
    <w:p>
      <w:pPr>
        <w:pageBreakBefore w:val="0"/>
        <w:kinsoku/>
        <w:bidi w:val="0"/>
        <w:spacing w:line="360" w:lineRule="auto"/>
        <w:ind w:left="0" w:leftChars="0" w:firstLine="0" w:firstLineChars="0"/>
        <w:textAlignment w:val="auto"/>
        <w:rPr>
          <w:rFonts w:hint="eastAsia" w:ascii="Times New Roman" w:hAnsi="Arial" w:eastAsia="宋体" w:cstheme="minorBidi"/>
          <w:b/>
          <w:bCs/>
          <w:kern w:val="2"/>
          <w:sz w:val="21"/>
          <w:szCs w:val="21"/>
          <w:lang w:val="en-US" w:eastAsia="zh-CN" w:bidi="ar-SA"/>
        </w:rPr>
      </w:pPr>
      <w:r>
        <w:rPr>
          <w:rFonts w:hint="eastAsia" w:ascii="Times New Roman" w:hAnsi="Arial" w:eastAsia="宋体" w:cstheme="minorBidi"/>
          <w:b/>
          <w:bCs/>
          <w:kern w:val="2"/>
          <w:sz w:val="21"/>
          <w:szCs w:val="21"/>
          <w:lang w:val="en-US" w:eastAsia="zh-CN" w:bidi="ar-SA"/>
        </w:rPr>
        <w:t>4.2 项目回报机制</w:t>
      </w:r>
      <w:bookmarkEnd w:id="71"/>
      <w:bookmarkStart w:id="72" w:name="_Toc504637064"/>
    </w:p>
    <w:p>
      <w:pPr>
        <w:pageBreakBefore w:val="0"/>
        <w:kinsoku/>
        <w:bidi w:val="0"/>
        <w:spacing w:line="360" w:lineRule="auto"/>
        <w:ind w:firstLine="480"/>
        <w:textAlignment w:val="auto"/>
        <w:rPr>
          <w:rFonts w:ascii="Times New Roman"/>
          <w:sz w:val="21"/>
          <w:szCs w:val="21"/>
        </w:rPr>
      </w:pPr>
      <w:r>
        <w:rPr>
          <w:rFonts w:hint="eastAsia" w:ascii="Times New Roman"/>
          <w:sz w:val="21"/>
          <w:szCs w:val="21"/>
          <w:lang w:val="en-US" w:eastAsia="zh-CN"/>
        </w:rPr>
        <w:t>4</w:t>
      </w:r>
      <w:r>
        <w:rPr>
          <w:rFonts w:ascii="Times New Roman"/>
          <w:sz w:val="21"/>
          <w:szCs w:val="21"/>
        </w:rPr>
        <w:t>.2.1 项目回报机制</w:t>
      </w:r>
      <w:bookmarkEnd w:id="72"/>
    </w:p>
    <w:p>
      <w:pPr>
        <w:jc w:val="both"/>
        <w:rPr>
          <w:rFonts w:hint="eastAsia" w:ascii="Times New Roman" w:hAnsi="Times New Roman"/>
          <w:sz w:val="21"/>
          <w:szCs w:val="21"/>
          <w:lang w:val="en-US"/>
        </w:rPr>
      </w:pPr>
      <w:r>
        <w:rPr>
          <w:rFonts w:hint="eastAsia" w:ascii="Times New Roman" w:hAnsi="Times New Roman"/>
          <w:sz w:val="21"/>
          <w:szCs w:val="21"/>
          <w:lang w:val="en-US"/>
        </w:rPr>
        <w:t>（一）回报机制的类型</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项目回报机制主要说明社会资本取得投资回报的资金来源，包括使用者付费、可行性缺口补助和政府付费等支付方式。</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使用者付费（User Charge），是指由最终消费用户直接付费购买公共产品和服务。</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可行性缺口补助（Viability Gap Funding），是指使用者付费不足以满足社会资本或项目公司成本回收和合理回报，而由政府以财政补贴、股本投入、优惠贷款和其他优惠政策的形式，给予社会资本或项目公司的经济补助。</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政府付费（Government Payment），是指政府直接付费购买公共产品和服务，主要包括可用性付费（Availability Payment）、使用量付费（Usage Payment）和绩效付费（Performance Payment）。政府付费的依据主要是设施可用性、产品和服务使用量和质量等要素。</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在政府付费机制下，政府可以依据项目设施的可用性、产品或服务的使用量以及质量向项目公司付费。政府付费是公用设施类和公共服务类项目中较为常用的付费机制，在一些公共交通项目中常采用这种机制。</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ru-RU"/>
        </w:rPr>
      </w:pPr>
      <w:r>
        <w:rPr>
          <w:rFonts w:hint="eastAsia" w:ascii="Times New Roman" w:hAnsi="Times New Roman"/>
          <w:sz w:val="24"/>
          <w:szCs w:val="24"/>
          <w:lang w:val="en-US" w:eastAsia="zh-CN"/>
        </w:rPr>
        <w:t>(二)</w:t>
      </w:r>
      <w:r>
        <w:rPr>
          <w:rFonts w:hint="eastAsia" w:ascii="Times New Roman" w:hAnsi="Times New Roman"/>
          <w:sz w:val="24"/>
          <w:szCs w:val="24"/>
          <w:lang w:val="ru-RU"/>
        </w:rPr>
        <w:t>设置付费机制（回报机制）的基本原则和主要因素</w:t>
      </w:r>
    </w:p>
    <w:p>
      <w:pPr>
        <w:numPr>
          <w:ilvl w:val="0"/>
          <w:numId w:val="0"/>
        </w:numPr>
        <w:jc w:val="both"/>
        <w:rPr>
          <w:rFonts w:ascii="仿宋_GB2312" w:hAnsi="仿宋"/>
          <w:sz w:val="21"/>
          <w:szCs w:val="21"/>
          <w:lang w:val="ru-RU"/>
        </w:rPr>
      </w:pPr>
      <w:r>
        <w:rPr>
          <w:rFonts w:hint="eastAsia" w:ascii="仿宋_GB2312" w:hAnsi="仿宋"/>
          <w:sz w:val="21"/>
          <w:szCs w:val="21"/>
          <w:lang w:val="ru-RU" w:eastAsia="zh-CN"/>
        </w:rPr>
        <w:t>（</w:t>
      </w:r>
      <w:r>
        <w:rPr>
          <w:rFonts w:hint="eastAsia" w:ascii="仿宋_GB2312" w:hAnsi="仿宋"/>
          <w:sz w:val="21"/>
          <w:szCs w:val="21"/>
          <w:lang w:val="en-US" w:eastAsia="zh-CN"/>
        </w:rPr>
        <w:t>1</w:t>
      </w:r>
      <w:r>
        <w:rPr>
          <w:rFonts w:hint="eastAsia" w:ascii="仿宋_GB2312" w:hAnsi="仿宋"/>
          <w:sz w:val="21"/>
          <w:szCs w:val="21"/>
          <w:lang w:val="ru-RU" w:eastAsia="zh-CN"/>
        </w:rPr>
        <w:t>）</w:t>
      </w:r>
      <w:r>
        <w:rPr>
          <w:rFonts w:ascii="仿宋_GB2312" w:hAnsi="仿宋"/>
          <w:sz w:val="21"/>
          <w:szCs w:val="21"/>
          <w:lang w:val="ru-RU"/>
        </w:rPr>
        <w:t>基本原则</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ru-RU"/>
        </w:rPr>
      </w:pPr>
      <w:r>
        <w:rPr>
          <w:rFonts w:hint="eastAsia" w:ascii="Times New Roman" w:hAnsi="Times New Roman"/>
          <w:sz w:val="24"/>
          <w:szCs w:val="24"/>
          <w:lang w:val="ru-RU"/>
        </w:rPr>
        <w:t>不同PPP项目适合采用的付费机制可能完全不同，一般而言，在设置项目付费机制时需要遵循以下基本原则：既能够激励项目公司妥善履行其合同义务，又能够确保在项目公司未履行合同义务时，政府能够通过该付费机制获得有效的救济。</w:t>
      </w:r>
    </w:p>
    <w:p>
      <w:pPr>
        <w:numPr>
          <w:ilvl w:val="0"/>
          <w:numId w:val="0"/>
        </w:numPr>
        <w:jc w:val="both"/>
        <w:rPr>
          <w:rFonts w:ascii="仿宋_GB2312" w:hAnsi="仿宋"/>
          <w:sz w:val="21"/>
          <w:szCs w:val="21"/>
          <w:lang w:val="ru-RU"/>
        </w:rPr>
      </w:pPr>
      <w:r>
        <w:rPr>
          <w:rFonts w:hint="eastAsia" w:ascii="仿宋_GB2312" w:hAnsi="仿宋"/>
          <w:sz w:val="21"/>
          <w:szCs w:val="21"/>
          <w:lang w:val="ru-RU" w:eastAsia="zh-CN"/>
        </w:rPr>
        <w:t>（</w:t>
      </w:r>
      <w:r>
        <w:rPr>
          <w:rFonts w:hint="eastAsia" w:ascii="仿宋_GB2312" w:hAnsi="仿宋"/>
          <w:sz w:val="21"/>
          <w:szCs w:val="21"/>
          <w:lang w:val="en-US" w:eastAsia="zh-CN"/>
        </w:rPr>
        <w:t>2</w:t>
      </w:r>
      <w:r>
        <w:rPr>
          <w:rFonts w:hint="eastAsia" w:ascii="仿宋_GB2312" w:hAnsi="仿宋"/>
          <w:sz w:val="21"/>
          <w:szCs w:val="21"/>
          <w:lang w:val="ru-RU" w:eastAsia="zh-CN"/>
        </w:rPr>
        <w:t>）</w:t>
      </w:r>
      <w:r>
        <w:rPr>
          <w:rFonts w:ascii="仿宋_GB2312" w:hAnsi="仿宋"/>
          <w:sz w:val="21"/>
          <w:szCs w:val="21"/>
          <w:lang w:val="ru-RU"/>
        </w:rPr>
        <w:t>主要考虑因素</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ru-RU"/>
        </w:rPr>
      </w:pPr>
      <w:r>
        <w:rPr>
          <w:rFonts w:hint="eastAsia" w:ascii="Times New Roman" w:hAnsi="Times New Roman"/>
          <w:sz w:val="24"/>
          <w:szCs w:val="24"/>
          <w:lang w:val="ru-RU"/>
        </w:rPr>
        <w:t>在设置付费机制时，通常需要考虑以下因素：</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ru-RU"/>
        </w:rPr>
      </w:pPr>
      <w:r>
        <w:rPr>
          <w:rFonts w:hint="eastAsia" w:ascii="Times New Roman" w:hAnsi="Times New Roman"/>
          <w:sz w:val="24"/>
          <w:szCs w:val="24"/>
          <w:lang w:val="en-US" w:eastAsia="zh-CN"/>
        </w:rPr>
        <w:t>1.</w:t>
      </w:r>
      <w:r>
        <w:rPr>
          <w:rFonts w:hint="eastAsia" w:ascii="Times New Roman" w:hAnsi="Times New Roman"/>
          <w:sz w:val="24"/>
          <w:szCs w:val="24"/>
          <w:lang w:val="ru-RU"/>
        </w:rPr>
        <w:t>项目产出是否可计量。PPP项目所提供的公共产品或服务的数量和质量是否可以准确计量，决定了其是否可以采用使用量付费和绩效付费方式。因此，在一些公用设施类和公共服务类PPP项目中，如供热、污水处理等，需要事先明确这类项目产出的数量和质量是否可以计量以及计量的方法和标准，并将上述方法和标准在PPP项目合同中加以明确。</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ru-RU"/>
        </w:rPr>
      </w:pPr>
      <w:r>
        <w:rPr>
          <w:rFonts w:hint="eastAsia" w:ascii="Times New Roman" w:hAnsi="Times New Roman"/>
          <w:sz w:val="24"/>
          <w:szCs w:val="24"/>
          <w:lang w:val="ru-RU"/>
        </w:rPr>
        <w:t>2.适当的激励。付费机制应当能够保证项目公司获得合理的回报，以对项目公司形成适当、有效的激励，确保项目实施的效率和质量。</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ru-RU"/>
        </w:rPr>
      </w:pPr>
      <w:r>
        <w:rPr>
          <w:rFonts w:hint="eastAsia" w:ascii="Times New Roman" w:hAnsi="Times New Roman"/>
          <w:sz w:val="24"/>
          <w:szCs w:val="24"/>
          <w:lang w:val="ru-RU"/>
        </w:rPr>
        <w:t>3.灵活性。鉴于PPP项目的期限通常很长，为了更好地应对项目实施过程中可能发生的各种情势变更，付费机制项下一般也需要设置一定的变更或调整机制。</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ru-RU"/>
        </w:rPr>
      </w:pPr>
      <w:r>
        <w:rPr>
          <w:rFonts w:hint="eastAsia" w:ascii="Times New Roman" w:hAnsi="Times New Roman"/>
          <w:sz w:val="24"/>
          <w:szCs w:val="24"/>
          <w:lang w:val="ru-RU"/>
        </w:rPr>
        <w:t>4.可融资性。对于需要由项目公司进行融资的PPP项目，在设置付费机制时还需考虑该付费机制在融资上的可行性以及对融资方吸引力。</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ru-RU"/>
        </w:rPr>
        <w:t>5.财政承</w:t>
      </w:r>
      <w:r>
        <w:rPr>
          <w:rFonts w:hint="eastAsia" w:ascii="Times New Roman" w:hAnsi="Times New Roman"/>
          <w:sz w:val="24"/>
          <w:szCs w:val="24"/>
          <w:lang w:val="en-US"/>
        </w:rPr>
        <w:t>受能力。在多数PPP项目、尤其是采用政府付费和可行性缺口补助机制的项目中，财政承受能力关系到项目公司能否按时足额地获得付费，因此需要事先对政府的财政承受能力进行评估。</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本项目属于不具有向最终用户收费的非收费公路，根据《河南省交通运输厅关于印发河南省普通公路政府和社会资本合作（PPP）项目工作导则的通知》(豫交文[2017]281号)：“非收费公路项目回报方式为政府付费，一般包括可用性服务费和运维绩效费两部分，列入本级政府财政预算计划。”</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综合以上因素，确定本项目社会资本在项目中投入的资本性支出和运营维护成本宜采用“政府付费”的回报机制。具体而言，建议按照“基于可用性的绩效合同”模式，由项目所在地政府向项目公司支付可用性服务费的方式购买项目可用性服务（符合验收标准的公共资产），以及支付运营维护绩效服务费的方式购买项目公司为维持项目可用性所需的运营维护服务（符合绩效要求的公共服务）。即由市政府向项目公司支付建设项目的可用性服务费和运维绩效服务费。</w:t>
      </w:r>
    </w:p>
    <w:p>
      <w:pPr>
        <w:widowControl w:val="0"/>
        <w:numPr>
          <w:ilvl w:val="0"/>
          <w:numId w:val="0"/>
        </w:numPr>
        <w:adjustRightInd w:val="0"/>
        <w:snapToGrid w:val="0"/>
        <w:ind w:leftChars="100" w:firstLine="418" w:firstLineChars="0"/>
        <w:jc w:val="left"/>
        <w:rPr>
          <w:rFonts w:hint="eastAsia" w:ascii="Times New Roman" w:hAnsi="Times New Roman" w:eastAsia="宋体" w:cstheme="minorBidi"/>
          <w:kern w:val="2"/>
          <w:sz w:val="24"/>
          <w:szCs w:val="24"/>
          <w:lang w:val="ru-RU" w:eastAsia="zh-CN" w:bidi="ar-SA"/>
        </w:rPr>
      </w:pPr>
      <w:r>
        <w:rPr>
          <w:rFonts w:hint="eastAsia" w:ascii="Times New Roman" w:hAnsi="Times New Roman" w:cstheme="minorBidi"/>
          <w:kern w:val="2"/>
          <w:sz w:val="24"/>
          <w:szCs w:val="24"/>
          <w:lang w:val="en-US" w:eastAsia="zh-CN" w:bidi="ar-SA"/>
        </w:rPr>
        <w:t>注：</w:t>
      </w:r>
      <w:r>
        <w:rPr>
          <w:rFonts w:hint="eastAsia" w:ascii="宋体" w:hAnsi="宋体" w:eastAsia="宋体" w:cs="宋体"/>
          <w:kern w:val="2"/>
          <w:sz w:val="24"/>
          <w:szCs w:val="24"/>
          <w:lang w:val="en-US" w:eastAsia="zh-CN" w:bidi="ar-SA"/>
        </w:rPr>
        <w:t>①</w:t>
      </w:r>
      <w:r>
        <w:rPr>
          <w:rFonts w:hint="eastAsia" w:ascii="Times New Roman" w:hAnsi="Times New Roman" w:eastAsia="宋体" w:cstheme="minorBidi"/>
          <w:kern w:val="2"/>
          <w:sz w:val="24"/>
          <w:szCs w:val="24"/>
          <w:lang w:val="ru-RU" w:eastAsia="zh-CN" w:bidi="ar-SA"/>
        </w:rPr>
        <w:t xml:space="preserve"> 政府付费总额等于运营期（12年）每一年政府付费合计，每一年政府付费依据财政部《关于印发政府和社会资本合作项目财政承受能力论证指引的通知》（财金〔2015〕21号）中明确的计算公式，对本项目政府每年的政府付费支出（即当年运营补贴支出）进行测算，并按照现值相等的原则进行平滑处理。当年政府付费计算公式如下：</w:t>
      </w:r>
      <w:r>
        <w:rPr>
          <w:rFonts w:hint="eastAsia" w:ascii="Times New Roman" w:hAnsi="Times New Roman" w:eastAsia="宋体" w:cstheme="minorBidi"/>
          <w:kern w:val="2"/>
          <w:sz w:val="24"/>
          <w:szCs w:val="24"/>
          <w:lang w:val="ru-RU" w:eastAsia="zh-CN" w:bidi="ar-SA"/>
        </w:rPr>
        <w:drawing>
          <wp:inline distT="0" distB="0" distL="114300" distR="114300">
            <wp:extent cx="5273040" cy="941070"/>
            <wp:effectExtent l="0" t="0" r="381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273040" cy="941070"/>
                    </a:xfrm>
                    <a:prstGeom prst="rect">
                      <a:avLst/>
                    </a:prstGeom>
                    <a:noFill/>
                    <a:ln w="9525">
                      <a:noFill/>
                    </a:ln>
                  </pic:spPr>
                </pic:pic>
              </a:graphicData>
            </a:graphic>
          </wp:inline>
        </w:drawing>
      </w:r>
    </w:p>
    <w:p>
      <w:pPr>
        <w:numPr>
          <w:ilvl w:val="0"/>
          <w:numId w:val="0"/>
        </w:numPr>
        <w:ind w:firstLine="420" w:firstLineChars="0"/>
        <w:rPr>
          <w:rFonts w:hint="eastAsia" w:ascii="Times New Roman" w:hAnsi="Times New Roman" w:eastAsia="宋体" w:cstheme="minorBidi"/>
          <w:kern w:val="2"/>
          <w:sz w:val="24"/>
          <w:szCs w:val="24"/>
          <w:lang w:val="en-US" w:eastAsia="zh-CN" w:bidi="ar-SA"/>
        </w:rPr>
      </w:pPr>
      <w:r>
        <w:rPr>
          <w:rFonts w:hint="eastAsia" w:ascii="宋体" w:hAnsi="宋体" w:eastAsia="宋体" w:cs="宋体"/>
          <w:kern w:val="2"/>
          <w:sz w:val="24"/>
          <w:szCs w:val="24"/>
          <w:lang w:val="en-US" w:eastAsia="zh-CN" w:bidi="ar-SA"/>
        </w:rPr>
        <w:t>②</w:t>
      </w:r>
      <w:r>
        <w:rPr>
          <w:rFonts w:hint="eastAsia" w:ascii="Times New Roman" w:hAnsi="Times New Roman" w:eastAsia="宋体" w:cstheme="minorBidi"/>
          <w:kern w:val="2"/>
          <w:sz w:val="24"/>
          <w:szCs w:val="24"/>
          <w:lang w:val="en-US" w:eastAsia="zh-CN" w:bidi="ar-SA"/>
        </w:rPr>
        <w:t>项目全部建设成本</w:t>
      </w:r>
    </w:p>
    <w:p>
      <w:pPr>
        <w:numPr>
          <w:ilvl w:val="0"/>
          <w:numId w:val="0"/>
        </w:numPr>
        <w:ind w:firstLine="420" w:firstLineChars="0"/>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项目全部建设成本=建安费用×（1-建安费用下浮率）+投资估算+建设期利息-建安费用</w:t>
      </w:r>
    </w:p>
    <w:p>
      <w:pPr>
        <w:numPr>
          <w:ilvl w:val="0"/>
          <w:numId w:val="0"/>
        </w:numPr>
        <w:ind w:firstLine="420" w:firstLineChars="0"/>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以上公式中，投资估算为84515.67万元，建设期利息暂定为2822.25万元，建安费用暂定为58906.87万元。实际支付时总投资（不含建设期利息）、建设期利息、建安费用以竣工决算审计结果为准。</w:t>
      </w:r>
    </w:p>
    <w:p>
      <w:pPr>
        <w:rPr>
          <w:rFonts w:hint="eastAsia" w:ascii="Times New Roman" w:hAnsi="Times New Roman" w:eastAsia="宋体" w:cstheme="minorBidi"/>
          <w:kern w:val="2"/>
          <w:sz w:val="24"/>
          <w:szCs w:val="24"/>
          <w:lang w:val="en-US" w:eastAsia="zh-CN" w:bidi="ar-SA"/>
        </w:rPr>
      </w:pPr>
      <w:r>
        <w:rPr>
          <w:rFonts w:hint="eastAsia" w:ascii="宋体" w:hAnsi="宋体" w:eastAsia="宋体" w:cs="宋体"/>
          <w:kern w:val="2"/>
          <w:sz w:val="24"/>
          <w:szCs w:val="24"/>
          <w:lang w:val="en-US" w:eastAsia="zh-CN" w:bidi="ar-SA"/>
        </w:rPr>
        <w:t>③</w:t>
      </w:r>
      <w:r>
        <w:rPr>
          <w:rFonts w:hint="eastAsia" w:ascii="Times New Roman" w:hAnsi="Times New Roman" w:eastAsia="宋体" w:cstheme="minorBidi"/>
          <w:kern w:val="2"/>
          <w:sz w:val="24"/>
          <w:szCs w:val="24"/>
          <w:lang w:val="en-US" w:eastAsia="zh-CN" w:bidi="ar-SA"/>
        </w:rPr>
        <w:t>运营成本下浮率</w:t>
      </w:r>
    </w:p>
    <w:p>
      <w:pP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经测算（具体见“6.1财务费用分析”），本项目每年运营成本如下：</w:t>
      </w:r>
    </w:p>
    <w:p>
      <w:pPr>
        <w:pStyle w:val="2"/>
        <w:spacing w:after="0"/>
        <w:ind w:firstLine="301"/>
        <w:jc w:val="center"/>
        <w:rPr>
          <w:rFonts w:hint="eastAsia"/>
          <w:b/>
          <w:lang w:val="en-US"/>
        </w:rPr>
      </w:pPr>
      <w:r>
        <w:rPr>
          <w:rFonts w:hint="eastAsia"/>
          <w:b/>
          <w:lang w:val="en-US"/>
        </w:rPr>
        <w:t xml:space="preserve">表 </w:t>
      </w:r>
      <w:r>
        <w:rPr>
          <w:b/>
          <w:lang w:val="en-US"/>
        </w:rPr>
        <w:t xml:space="preserve">9-2 </w:t>
      </w:r>
      <w:r>
        <w:rPr>
          <w:rFonts w:hint="eastAsia"/>
          <w:b/>
          <w:lang w:val="en-US"/>
        </w:rPr>
        <w:t>运营</w:t>
      </w:r>
      <w:r>
        <w:rPr>
          <w:b/>
          <w:lang w:val="en-US"/>
        </w:rPr>
        <w:t>成本</w:t>
      </w:r>
    </w:p>
    <w:p>
      <w:pPr>
        <w:pStyle w:val="2"/>
        <w:ind w:firstLine="220"/>
        <w:jc w:val="right"/>
        <w:rPr>
          <w:rFonts w:hint="eastAsia"/>
          <w:sz w:val="22"/>
          <w:lang w:val="en-US"/>
        </w:rPr>
      </w:pPr>
      <w:r>
        <w:rPr>
          <w:rFonts w:hint="eastAsia"/>
          <w:sz w:val="22"/>
          <w:lang w:val="en-US"/>
        </w:rPr>
        <w:t>单位：万元/年</w:t>
      </w:r>
    </w:p>
    <w:tbl>
      <w:tblPr>
        <w:tblStyle w:val="44"/>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7"/>
        <w:gridCol w:w="1217"/>
        <w:gridCol w:w="12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sz w:val="20"/>
                <w:szCs w:val="20"/>
                <w:lang w:val="en-US"/>
              </w:rPr>
            </w:pPr>
            <w:r>
              <w:rPr>
                <w:rFonts w:hint="eastAsia" w:ascii="宋体" w:hAnsi="宋体" w:eastAsia="宋体" w:cs="宋体"/>
                <w:sz w:val="20"/>
                <w:szCs w:val="20"/>
                <w:lang w:val="en-US"/>
              </w:rPr>
              <w:t>运营期</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1</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2</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3</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4</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5</w:t>
            </w:r>
          </w:p>
        </w:tc>
        <w:tc>
          <w:tcPr>
            <w:tcW w:w="122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运营成本</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502.97</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502.97</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502.97</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502.97</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3544.19</w:t>
            </w:r>
          </w:p>
        </w:tc>
        <w:tc>
          <w:tcPr>
            <w:tcW w:w="122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502.97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运营期</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7</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8</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9</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10</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11</w:t>
            </w:r>
          </w:p>
        </w:tc>
        <w:tc>
          <w:tcPr>
            <w:tcW w:w="122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运营成本</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502.97</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502.97</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502.97</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10287.01</w:t>
            </w:r>
          </w:p>
        </w:tc>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502.97</w:t>
            </w:r>
          </w:p>
        </w:tc>
        <w:tc>
          <w:tcPr>
            <w:tcW w:w="122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502.97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2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合计</w:t>
            </w:r>
          </w:p>
        </w:tc>
        <w:tc>
          <w:tcPr>
            <w:tcW w:w="7305" w:type="dxa"/>
            <w:gridSpan w:val="6"/>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0"/>
                <w:szCs w:val="20"/>
                <w:lang w:val="en-US"/>
              </w:rPr>
            </w:pPr>
            <w:r>
              <w:rPr>
                <w:rFonts w:hint="eastAsia" w:ascii="宋体" w:hAnsi="宋体" w:eastAsia="宋体" w:cs="宋体"/>
                <w:sz w:val="20"/>
                <w:szCs w:val="20"/>
                <w:lang w:val="en-US"/>
              </w:rPr>
              <w:t>18860.91</w:t>
            </w:r>
          </w:p>
        </w:tc>
      </w:tr>
    </w:tbl>
    <w:p>
      <w:pPr>
        <w:pStyle w:val="2"/>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注：竞价后的各年运营成本=各年运营成本测算值(见上表)×（1-运营成本下浮率）</w:t>
      </w:r>
    </w:p>
    <w:p>
      <w:pPr>
        <w:numPr>
          <w:ilvl w:val="0"/>
          <w:numId w:val="0"/>
        </w:numPr>
        <w:ind w:firstLine="420" w:firstLineChars="0"/>
        <w:jc w:val="both"/>
        <w:rPr>
          <w:rFonts w:hint="eastAsia" w:ascii="Times New Roman" w:hAnsi="Times New Roman"/>
          <w:sz w:val="24"/>
          <w:szCs w:val="24"/>
          <w:lang w:val="en-US"/>
        </w:rPr>
      </w:pPr>
      <w:r>
        <w:rPr>
          <w:rFonts w:hint="eastAsia" w:ascii="Times New Roman" w:hAnsi="Times New Roman"/>
          <w:b/>
          <w:kern w:val="2"/>
          <w:sz w:val="21"/>
          <w:szCs w:val="21"/>
          <w:lang w:val="en-US" w:eastAsia="zh-CN"/>
        </w:rPr>
        <w:t>1.</w:t>
      </w:r>
      <w:r>
        <w:rPr>
          <w:rFonts w:ascii="Times New Roman" w:hAnsi="Times New Roman"/>
          <w:b/>
          <w:kern w:val="2"/>
          <w:sz w:val="21"/>
          <w:szCs w:val="21"/>
          <w:lang w:val="en-US"/>
        </w:rPr>
        <w:t>可用性服务费。</w:t>
      </w:r>
      <w:r>
        <w:rPr>
          <w:rFonts w:hint="eastAsia" w:ascii="Times New Roman" w:hAnsi="Times New Roman"/>
          <w:sz w:val="24"/>
          <w:szCs w:val="24"/>
          <w:lang w:val="en-US"/>
        </w:rPr>
        <w:t>可用性服务费指项目公司为本项目建设符合适用法律及PPP项目合同规定的竣工验收标准的公共资产之目的投入的资本性总支出而需要获得的服务收入，主要包括项目建设成本、融资成本、税费及必要的合理回报。</w:t>
      </w:r>
    </w:p>
    <w:p>
      <w:pPr>
        <w:widowControl w:val="0"/>
        <w:numPr>
          <w:ilvl w:val="0"/>
          <w:numId w:val="0"/>
        </w:numPr>
        <w:adjustRightInd w:val="0"/>
        <w:snapToGrid w:val="0"/>
        <w:ind w:firstLine="420" w:firstLineChars="0"/>
        <w:jc w:val="left"/>
        <w:rPr>
          <w:rFonts w:hint="eastAsia" w:ascii="Times New Roman" w:hAnsi="Times New Roman"/>
          <w:sz w:val="24"/>
          <w:szCs w:val="24"/>
          <w:lang w:val="en-US"/>
        </w:rPr>
      </w:pPr>
      <w:r>
        <w:rPr>
          <w:rFonts w:ascii="Times New Roman" w:hAnsi="Times New Roman"/>
          <w:b/>
          <w:kern w:val="2"/>
          <w:sz w:val="21"/>
          <w:szCs w:val="21"/>
          <w:lang w:val="en-US"/>
        </w:rPr>
        <w:t>2.运维绩效服务费。</w:t>
      </w:r>
      <w:r>
        <w:rPr>
          <w:rFonts w:hint="eastAsia" w:ascii="Times New Roman" w:hAnsi="Times New Roman"/>
          <w:sz w:val="24"/>
          <w:szCs w:val="24"/>
          <w:lang w:val="en-US"/>
        </w:rPr>
        <w:t>运维绩效服务费指项目公司为维持本项目可用性之目的提供的符合PPP项目合同规定的绩效标准的运营维护服务而需要获得的服务收入，主要包括本项目红线范围内的运营维护成本、税费及必要的合理回报。</w:t>
      </w:r>
    </w:p>
    <w:p>
      <w:pPr>
        <w:widowControl w:val="0"/>
        <w:numPr>
          <w:ilvl w:val="0"/>
          <w:numId w:val="0"/>
        </w:numPr>
        <w:adjustRightInd w:val="0"/>
        <w:snapToGrid w:val="0"/>
        <w:ind w:firstLine="420" w:firstLineChars="0"/>
        <w:jc w:val="left"/>
        <w:rPr>
          <w:rFonts w:hint="eastAsia" w:ascii="Times New Roman" w:hAnsi="Times New Roman"/>
          <w:sz w:val="24"/>
          <w:szCs w:val="24"/>
          <w:lang w:val="en-US"/>
        </w:rPr>
      </w:pPr>
      <w:r>
        <w:rPr>
          <w:rFonts w:hint="eastAsia" w:ascii="Times New Roman" w:hAnsi="Times New Roman"/>
          <w:sz w:val="24"/>
          <w:szCs w:val="24"/>
          <w:lang w:val="en-US"/>
        </w:rPr>
        <w:t>项目公司完成工程投资、建设并经验收合格后，需为本项目工程提供运营维护服务。政府方将以政府付费的方式，按照PPP项目合同的约定向项目公司支付服务费用，用以弥补其建设投资、运营维护费用并获得合理回报。本项目资产在经营期届满后无偿移交给项目实施机构或政府指定的其他机构。</w:t>
      </w:r>
    </w:p>
    <w:p>
      <w:pPr>
        <w:numPr>
          <w:ilvl w:val="0"/>
          <w:numId w:val="0"/>
        </w:numPr>
        <w:ind w:firstLine="420" w:firstLineChars="0"/>
        <w:jc w:val="both"/>
        <w:rPr>
          <w:rFonts w:hint="eastAsia" w:ascii="Times New Roman" w:hAnsi="Times New Roman"/>
          <w:sz w:val="24"/>
          <w:szCs w:val="24"/>
          <w:lang w:val="en-US"/>
        </w:rPr>
      </w:pPr>
      <w:r>
        <w:rPr>
          <w:rFonts w:hint="eastAsia"/>
          <w:b/>
          <w:sz w:val="21"/>
          <w:szCs w:val="21"/>
          <w:lang w:val="en-US" w:eastAsia="zh-CN"/>
        </w:rPr>
        <w:t>3.</w:t>
      </w:r>
      <w:r>
        <w:rPr>
          <w:rFonts w:hint="eastAsia"/>
          <w:b/>
          <w:sz w:val="21"/>
          <w:szCs w:val="21"/>
          <w:lang w:val="en-US"/>
        </w:rPr>
        <w:t>政府付费</w:t>
      </w:r>
      <w:r>
        <w:rPr>
          <w:b/>
          <w:sz w:val="21"/>
          <w:szCs w:val="21"/>
          <w:lang w:val="en-US"/>
        </w:rPr>
        <w:t>与绩效考核挂钩</w:t>
      </w:r>
      <w:r>
        <w:rPr>
          <w:rFonts w:hint="eastAsia"/>
          <w:b/>
          <w:sz w:val="21"/>
          <w:szCs w:val="21"/>
          <w:lang w:val="en-US"/>
        </w:rPr>
        <w:t>。</w:t>
      </w:r>
      <w:r>
        <w:rPr>
          <w:rFonts w:hint="eastAsia" w:ascii="Times New Roman" w:hAnsi="Times New Roman"/>
          <w:sz w:val="24"/>
          <w:szCs w:val="24"/>
          <w:lang w:val="en-US"/>
        </w:rPr>
        <w:t>可用性服务费与运维绩效服务费的支付以绩效考核为前提，并依据绩效考核的结果支付可用性服务费与运维绩效服务费。</w:t>
      </w:r>
      <w:bookmarkStart w:id="73" w:name="_Toc504637065"/>
    </w:p>
    <w:p>
      <w:pPr>
        <w:numPr>
          <w:ilvl w:val="0"/>
          <w:numId w:val="0"/>
        </w:numPr>
        <w:jc w:val="both"/>
        <w:rPr>
          <w:rFonts w:ascii="Times New Roman"/>
          <w:sz w:val="21"/>
          <w:szCs w:val="21"/>
        </w:rPr>
      </w:pPr>
      <w:r>
        <w:rPr>
          <w:rFonts w:hint="eastAsia" w:ascii="Times New Roman"/>
          <w:sz w:val="21"/>
          <w:szCs w:val="21"/>
          <w:lang w:val="en-US" w:eastAsia="zh-CN"/>
        </w:rPr>
        <w:t>4</w:t>
      </w:r>
      <w:r>
        <w:rPr>
          <w:rFonts w:ascii="Times New Roman"/>
          <w:sz w:val="21"/>
          <w:szCs w:val="21"/>
        </w:rPr>
        <w:t>.2.2 股东回报机制</w:t>
      </w:r>
      <w:bookmarkEnd w:id="73"/>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本项目项目公司股东按其在项目公司所占股权比例获得分红。</w:t>
      </w:r>
      <w:bookmarkStart w:id="74" w:name="_Toc504637066"/>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eastAsia="zh-CN"/>
        </w:rPr>
        <w:t>4</w:t>
      </w:r>
      <w:r>
        <w:rPr>
          <w:rFonts w:hint="eastAsia" w:ascii="Times New Roman" w:hAnsi="Times New Roman"/>
          <w:sz w:val="24"/>
          <w:szCs w:val="24"/>
          <w:lang w:val="en-US"/>
        </w:rPr>
        <w:t>.3 项目配套安排</w:t>
      </w:r>
      <w:bookmarkEnd w:id="74"/>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PPP模式下的项目相关配套安排主要说明由项目以外相关机构提供的政策支持、投资补贴、土地、水、电、气和道路等配套设施和项目所需的上下游服务。</w:t>
      </w:r>
      <w:bookmarkStart w:id="75" w:name="_Toc504637067"/>
    </w:p>
    <w:p>
      <w:pPr>
        <w:jc w:val="both"/>
        <w:rPr>
          <w:rFonts w:ascii="Times New Roman"/>
          <w:sz w:val="21"/>
          <w:szCs w:val="21"/>
        </w:rPr>
      </w:pPr>
      <w:r>
        <w:rPr>
          <w:rFonts w:hint="eastAsia" w:ascii="Times New Roman"/>
          <w:sz w:val="21"/>
          <w:szCs w:val="21"/>
          <w:lang w:val="en-US" w:eastAsia="zh-CN"/>
        </w:rPr>
        <w:t>4</w:t>
      </w:r>
      <w:r>
        <w:rPr>
          <w:rFonts w:ascii="Times New Roman"/>
          <w:sz w:val="21"/>
          <w:szCs w:val="21"/>
        </w:rPr>
        <w:t>.3.1政策性补助支持</w:t>
      </w:r>
      <w:bookmarkEnd w:id="75"/>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政策支持指政府依据相关政策，向上级有关部门申请项目专项补助用于项目投资。</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本项目暂无政策性补助资金。如果在项目合作期间争取到相关政策性补助资金，则该资金可用于冲抵项目建设成本或者政府付费。</w:t>
      </w:r>
      <w:bookmarkStart w:id="76" w:name="_Toc504637068"/>
    </w:p>
    <w:p>
      <w:pPr>
        <w:jc w:val="both"/>
        <w:rPr>
          <w:rFonts w:ascii="Times New Roman"/>
          <w:sz w:val="21"/>
          <w:szCs w:val="21"/>
        </w:rPr>
      </w:pPr>
      <w:r>
        <w:rPr>
          <w:rFonts w:hint="eastAsia" w:ascii="Times New Roman"/>
          <w:sz w:val="21"/>
          <w:szCs w:val="21"/>
          <w:lang w:val="en-US" w:eastAsia="zh-CN"/>
        </w:rPr>
        <w:t>4</w:t>
      </w:r>
      <w:r>
        <w:rPr>
          <w:rFonts w:ascii="Times New Roman"/>
          <w:sz w:val="21"/>
          <w:szCs w:val="21"/>
        </w:rPr>
        <w:t>.3.2土地</w:t>
      </w:r>
      <w:bookmarkEnd w:id="76"/>
    </w:p>
    <w:p>
      <w:pPr>
        <w:numPr>
          <w:ilvl w:val="0"/>
          <w:numId w:val="0"/>
        </w:numPr>
        <w:jc w:val="both"/>
        <w:rPr>
          <w:rFonts w:ascii="Times New Roman" w:hAnsi="Times New Roman"/>
          <w:sz w:val="21"/>
          <w:szCs w:val="21"/>
          <w:lang w:val="en-US"/>
        </w:rPr>
      </w:pPr>
      <w:r>
        <w:rPr>
          <w:rFonts w:hint="eastAsia" w:ascii="Times New Roman" w:hAnsi="Times New Roman"/>
          <w:sz w:val="21"/>
          <w:szCs w:val="21"/>
          <w:lang w:val="en-US" w:eastAsia="zh-CN"/>
        </w:rPr>
        <w:t>（1）</w:t>
      </w:r>
      <w:r>
        <w:rPr>
          <w:rFonts w:ascii="Times New Roman" w:hAnsi="Times New Roman"/>
          <w:sz w:val="21"/>
          <w:szCs w:val="21"/>
          <w:lang w:val="en-US"/>
        </w:rPr>
        <w:t>征地拆迁</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本项目建设用地由市政府及相关部门负责统筹协调，由项目公司承担，相关费用计入项目建设费用。</w:t>
      </w:r>
    </w:p>
    <w:p>
      <w:pPr>
        <w:numPr>
          <w:ilvl w:val="0"/>
          <w:numId w:val="0"/>
        </w:numPr>
        <w:jc w:val="both"/>
        <w:rPr>
          <w:rFonts w:hint="eastAsia" w:ascii="Times New Roman" w:hAnsi="Times New Roman"/>
          <w:sz w:val="21"/>
          <w:szCs w:val="21"/>
          <w:lang w:val="en-US"/>
        </w:rPr>
      </w:pPr>
      <w:r>
        <w:rPr>
          <w:rFonts w:ascii="Times New Roman" w:hAnsi="Times New Roman"/>
          <w:sz w:val="21"/>
          <w:szCs w:val="21"/>
          <w:lang w:val="en-US"/>
        </w:rPr>
        <w:t>（2）项目公司的土地权利——土地使用权</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项目公司有权在项目期限内独占性地使用特定土地进行以实施项目为目的的活动。根据我国《土地管理法》规定，出让国有土地使用权可以依法转让、出租、抵押和继承；划拨国有土地使用权在依法报批并补缴土地使用权出让金后，可以转让、出租、抵押。</w:t>
      </w:r>
    </w:p>
    <w:p>
      <w:pPr>
        <w:jc w:val="both"/>
        <w:rPr>
          <w:rFonts w:hint="eastAsia" w:ascii="Times New Roman" w:hAnsi="Times New Roman"/>
          <w:sz w:val="21"/>
          <w:szCs w:val="21"/>
          <w:lang w:val="en-US"/>
        </w:rPr>
      </w:pPr>
      <w:r>
        <w:rPr>
          <w:rFonts w:ascii="Times New Roman" w:hAnsi="Times New Roman"/>
          <w:sz w:val="21"/>
          <w:szCs w:val="21"/>
          <w:lang w:val="en-US"/>
        </w:rPr>
        <w:t>（3）项目公司土地使用权的限制</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未经市政府批准，项目公司不得将本项目涉及的土地使用权转让给第三方或用于本项目以外的其他用途。</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除PPP项目合同中的限制外，项目公司的土地使用权还受土地使用权出让合同或者土地使用权划拨批准文件的约束，并且要遵守《土地管理法》等相关法律法规的规定。</w:t>
      </w:r>
    </w:p>
    <w:p>
      <w:pPr>
        <w:jc w:val="both"/>
        <w:rPr>
          <w:rFonts w:ascii="Times New Roman" w:hAnsi="Times New Roman"/>
          <w:sz w:val="21"/>
          <w:szCs w:val="21"/>
          <w:lang w:val="en-US"/>
        </w:rPr>
      </w:pPr>
      <w:r>
        <w:rPr>
          <w:rFonts w:ascii="Times New Roman" w:hAnsi="Times New Roman"/>
          <w:sz w:val="21"/>
          <w:szCs w:val="21"/>
          <w:lang w:val="en-US"/>
        </w:rPr>
        <w:t>（4）政府方的场地出入权</w:t>
      </w:r>
    </w:p>
    <w:p>
      <w:pPr>
        <w:jc w:val="both"/>
        <w:rPr>
          <w:rFonts w:ascii="Times New Roman" w:hAnsi="Times New Roman"/>
          <w:sz w:val="21"/>
          <w:szCs w:val="21"/>
          <w:lang w:val="en-US"/>
        </w:rPr>
      </w:pPr>
      <w:r>
        <w:rPr>
          <w:rFonts w:ascii="Times New Roman" w:hAnsi="Times New Roman"/>
          <w:sz w:val="21"/>
          <w:szCs w:val="21"/>
          <w:lang w:val="en-US"/>
        </w:rPr>
        <w:t>1）政府方有权出入项目设施场地</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政府方对项目的开展拥有足够的监督权，具有出入项目设施场地的权利，项目公司应予以配合，并提供监督检查所需资料。</w:t>
      </w:r>
    </w:p>
    <w:p>
      <w:pPr>
        <w:jc w:val="both"/>
        <w:rPr>
          <w:rFonts w:ascii="Times New Roman" w:hAnsi="Times New Roman"/>
          <w:sz w:val="21"/>
          <w:szCs w:val="21"/>
          <w:lang w:val="en-US"/>
        </w:rPr>
      </w:pPr>
      <w:r>
        <w:rPr>
          <w:rFonts w:ascii="Times New Roman" w:hAnsi="Times New Roman"/>
          <w:sz w:val="21"/>
          <w:szCs w:val="21"/>
          <w:lang w:val="en-US"/>
        </w:rPr>
        <w:t>2）条件和限制</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政府方行使上述出入权的条件和限制，包括：</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①在检查建设进度、监督项目公司履行PPP项目合同各项义务等；</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②遵守一般的安全保卫规定，并不得影响项目的正常建设和运营；</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③上述条件和限制仅是对政府方合同权利的约束，政府方及其他政府部门为依法行使其行政监管职权而采取的行政措施不受上述合同条款的限制。</w:t>
      </w:r>
      <w:bookmarkStart w:id="77" w:name="_Toc504637069"/>
    </w:p>
    <w:p>
      <w:pPr>
        <w:jc w:val="both"/>
        <w:rPr>
          <w:rFonts w:ascii="Times New Roman"/>
          <w:sz w:val="21"/>
          <w:szCs w:val="21"/>
        </w:rPr>
      </w:pPr>
      <w:r>
        <w:rPr>
          <w:rFonts w:hint="eastAsia" w:ascii="Times New Roman"/>
          <w:sz w:val="21"/>
          <w:szCs w:val="21"/>
          <w:lang w:val="en-US" w:eastAsia="zh-CN"/>
        </w:rPr>
        <w:t>4</w:t>
      </w:r>
      <w:r>
        <w:rPr>
          <w:rFonts w:ascii="Times New Roman"/>
          <w:sz w:val="21"/>
          <w:szCs w:val="21"/>
        </w:rPr>
        <w:t>.3.3水、电、气等配套设施</w:t>
      </w:r>
      <w:bookmarkEnd w:id="77"/>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除本项目边界范围内建设、运营工作外，正常建设运营所需的水、电和道路设施等项目相关的外部配套设施由市政府及相关部门负责统筹协调，由项目公司承担，相关费用计入项目建设费用。</w:t>
      </w:r>
      <w:bookmarkStart w:id="78" w:name="_Toc437271283"/>
    </w:p>
    <w:p>
      <w:pPr>
        <w:pageBreakBefore w:val="0"/>
        <w:kinsoku/>
        <w:bidi w:val="0"/>
        <w:spacing w:line="360" w:lineRule="auto"/>
        <w:ind w:left="0" w:leftChars="0" w:firstLine="0" w:firstLineChars="0"/>
        <w:jc w:val="center"/>
        <w:textAlignment w:val="auto"/>
      </w:pPr>
      <w:r>
        <w:rPr>
          <w:rFonts w:hint="eastAsia"/>
        </w:rPr>
        <w:t>五、合同体系</w:t>
      </w:r>
      <w:bookmarkEnd w:id="78"/>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bookmarkStart w:id="79" w:name="_Toc437271284"/>
      <w:r>
        <w:rPr>
          <w:rFonts w:hint="eastAsia" w:ascii="Times New Roman" w:hAnsi="Times New Roman"/>
          <w:sz w:val="24"/>
          <w:szCs w:val="24"/>
          <w:lang w:val="en-US"/>
        </w:rPr>
        <w:t>PPP项目的参与方包括政府方、社会资本、融资方、承包商和分包商、原料供应商、专业运营商、保险公司以及专业机构等。在PPP项目中，项目参与方通过签订一系列合同来确立和调整彼此之间的权利义务关系，构成PPP项目的合同体系。</w:t>
      </w:r>
      <w:bookmarkStart w:id="80" w:name="_Toc504637085"/>
    </w:p>
    <w:p>
      <w:pPr>
        <w:jc w:val="both"/>
        <w:rPr>
          <w:rFonts w:ascii="Times New Roman"/>
          <w:sz w:val="21"/>
          <w:szCs w:val="21"/>
        </w:rPr>
      </w:pPr>
      <w:r>
        <w:rPr>
          <w:rFonts w:hint="eastAsia" w:ascii="Times New Roman"/>
          <w:sz w:val="21"/>
          <w:szCs w:val="21"/>
          <w:lang w:val="en-US" w:eastAsia="zh-CN"/>
        </w:rPr>
        <w:t>5</w:t>
      </w:r>
      <w:r>
        <w:rPr>
          <w:rFonts w:ascii="Times New Roman"/>
          <w:sz w:val="21"/>
          <w:szCs w:val="21"/>
        </w:rPr>
        <w:t>.1合同体系拟定原则</w:t>
      </w:r>
      <w:bookmarkEnd w:id="80"/>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PPP模式下的项目合同体系主要包括投资协议、PPP项目合同、股东合同、融资合同、工程承包合同、运营服务合同、原料供应合同、产品采购合同和保险合同等。其中，PPP项目合同是最核心的法律文件。</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本项目的合同体系可以分为两个层次：</w:t>
      </w:r>
    </w:p>
    <w:p>
      <w:pPr>
        <w:spacing w:line="240" w:lineRule="auto"/>
        <w:ind w:firstLine="0" w:firstLineChars="0"/>
        <w:jc w:val="center"/>
        <w:rPr>
          <w:rFonts w:ascii="Times New Roman" w:hAnsi="Times New Roman"/>
          <w:b/>
          <w:lang w:val="en-US"/>
        </w:rPr>
      </w:pPr>
      <w:r>
        <w:rPr>
          <w:rFonts w:ascii="Times New Roman" w:hAnsi="Times New Roman"/>
          <w:b/>
          <w:lang w:val="en-US"/>
        </w:rPr>
        <w:t>图</w:t>
      </w:r>
      <w:r>
        <w:rPr>
          <w:rFonts w:hint="eastAsia" w:ascii="Times New Roman" w:hAnsi="Times New Roman"/>
          <w:b/>
          <w:lang w:val="en-US" w:eastAsia="zh-CN"/>
        </w:rPr>
        <w:t>5</w:t>
      </w:r>
      <w:r>
        <w:rPr>
          <w:rFonts w:ascii="Times New Roman" w:hAnsi="Times New Roman"/>
          <w:b/>
          <w:lang w:val="en-US"/>
        </w:rPr>
        <w:t>-1 项目合同结构图</w:t>
      </w:r>
    </w:p>
    <w:p>
      <w:pPr>
        <w:spacing w:line="240" w:lineRule="auto"/>
        <w:ind w:firstLine="0" w:firstLineChars="0"/>
        <w:jc w:val="center"/>
        <w:rPr>
          <w:rFonts w:ascii="Times New Roman" w:hAnsi="Times New Roman"/>
        </w:rPr>
      </w:pPr>
      <w:r>
        <w:rPr>
          <w:rFonts w:ascii="Times New Roman" w:hAnsi="Times New Roman"/>
        </w:rPr>
        <w:drawing>
          <wp:inline distT="0" distB="0" distL="114300" distR="114300">
            <wp:extent cx="4294505" cy="3227070"/>
            <wp:effectExtent l="0" t="0" r="10795" b="11430"/>
            <wp:docPr id="2"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
                    <pic:cNvPicPr>
                      <a:picLocks noChangeAspect="1"/>
                    </pic:cNvPicPr>
                  </pic:nvPicPr>
                  <pic:blipFill>
                    <a:blip r:embed="rId15"/>
                    <a:stretch>
                      <a:fillRect/>
                    </a:stretch>
                  </pic:blipFill>
                  <pic:spPr>
                    <a:xfrm>
                      <a:off x="0" y="0"/>
                      <a:ext cx="4294505" cy="3227070"/>
                    </a:xfrm>
                    <a:prstGeom prst="rect">
                      <a:avLst/>
                    </a:prstGeom>
                    <a:noFill/>
                    <a:ln w="9525">
                      <a:noFill/>
                    </a:ln>
                  </pic:spPr>
                </pic:pic>
              </a:graphicData>
            </a:graphic>
          </wp:inline>
        </w:drawing>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第一层次是由项目实施机构与中选社会资本之间签署《投资协议》、在政府方出资代表与中选社会资本签署的《股东出资协议》、项目公司《公司章程》成立项目公司后，由项目实施机构与项目公司签署的《PPP项目合同》共同构成的PPP项目合同体系。</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第二层次是项目公司在项目推进过程中与各有关主体签署的合同体系。包括：项目公司与金融机构签署的《融资合同》、与施工单位签署的《工程承包合同》、与设备供应商签署的《设备采购合同》、与保险机构签署的《保险合同》等。</w:t>
      </w:r>
      <w:bookmarkStart w:id="81" w:name="_Toc504637086"/>
    </w:p>
    <w:p>
      <w:pPr>
        <w:spacing w:line="360" w:lineRule="auto"/>
        <w:jc w:val="both"/>
        <w:rPr>
          <w:rFonts w:ascii="Times New Roman"/>
        </w:rPr>
      </w:pPr>
      <w:r>
        <w:rPr>
          <w:rFonts w:hint="eastAsia" w:ascii="Times New Roman"/>
          <w:lang w:val="en-US" w:eastAsia="zh-CN"/>
        </w:rPr>
        <w:t>5</w:t>
      </w:r>
      <w:r>
        <w:rPr>
          <w:rFonts w:ascii="Times New Roman"/>
        </w:rPr>
        <w:t>.2项目常见合同简介</w:t>
      </w:r>
      <w:bookmarkEnd w:id="81"/>
      <w:bookmarkStart w:id="82" w:name="_Toc504637087"/>
    </w:p>
    <w:p>
      <w:pPr>
        <w:spacing w:line="360" w:lineRule="auto"/>
        <w:jc w:val="both"/>
        <w:rPr>
          <w:rFonts w:ascii="Times New Roman"/>
        </w:rPr>
      </w:pPr>
      <w:r>
        <w:rPr>
          <w:rFonts w:hint="eastAsia" w:ascii="Times New Roman"/>
          <w:lang w:val="en-US" w:eastAsia="zh-CN"/>
        </w:rPr>
        <w:t>5</w:t>
      </w:r>
      <w:r>
        <w:rPr>
          <w:rFonts w:ascii="Times New Roman"/>
        </w:rPr>
        <w:t>.2.1 PPP项目合同</w:t>
      </w:r>
      <w:bookmarkEnd w:id="82"/>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PPP项目合同是其中最核心的法律文件。项目边界条件是PPP项目合同的核心内容，主要包括权利义务、交易条件、履约保障和调整衔接等边界。根据《国务院关于创新重点领域投融资机制鼓励社会投资的指导意见》（国发〔2014〕60号）有关要求和《政府和社会资本合作项目通用合同指南（2014年版）》（财金[2014]156号），《基础设施和公用事业特许经营管理办法》(国家发改委等六部委第25号令)明确社会资本和政府的职责及权利，具体拟定原则如下：</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强调合同各方的平等主体地位。合同各方均是平等主体，以市场机制为基础建立互惠合作关系，通过合同条款约定并保障权利义务。</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强调提高公共服务质量和效率。政府通过引入社会资本和市场机制，促进重点领域建设，增加公共产品有效供给，提高公共资源配置效率。</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强调社会资本获得合理回报。鼓励社会资本在确保公共利益的前提下，降低项目运作成本、提高资源配置效率、获取合理投资回报。</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强调公开透明和阳光运行。针对项目建设和运营的关键环节，明确政府监管职责，发挥专业机构作用，提高信息公开程度，确保项目阳光运行。</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强调合法合规及有效执行。PPP项目合同要与相关法律法规和技术规范做好衔接，确保内容全面、结构合理、具有可操作性。</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强调国际经验与国内实践相结合。借鉴国外先进经验，总结国内成功实践，积极探索，务实创新，适应当前深化投融资体制改革需要。</w:t>
      </w:r>
      <w:bookmarkStart w:id="83" w:name="_Toc504637088"/>
    </w:p>
    <w:p>
      <w:pPr>
        <w:jc w:val="both"/>
        <w:rPr>
          <w:rFonts w:ascii="Times New Roman"/>
          <w:sz w:val="21"/>
          <w:szCs w:val="21"/>
        </w:rPr>
      </w:pPr>
      <w:r>
        <w:rPr>
          <w:rFonts w:hint="eastAsia" w:ascii="Times New Roman"/>
          <w:sz w:val="21"/>
          <w:szCs w:val="21"/>
          <w:lang w:val="en-US" w:eastAsia="zh-CN"/>
        </w:rPr>
        <w:t>5</w:t>
      </w:r>
      <w:r>
        <w:rPr>
          <w:rFonts w:ascii="Times New Roman"/>
          <w:sz w:val="21"/>
          <w:szCs w:val="21"/>
        </w:rPr>
        <w:t>.2.2履约合同</w:t>
      </w:r>
      <w:bookmarkEnd w:id="83"/>
    </w:p>
    <w:p>
      <w:pPr>
        <w:jc w:val="both"/>
        <w:rPr>
          <w:rFonts w:ascii="Times New Roman" w:hAnsi="Times New Roman"/>
          <w:sz w:val="21"/>
          <w:szCs w:val="21"/>
          <w:lang w:val="en-US"/>
        </w:rPr>
      </w:pPr>
      <w:r>
        <w:rPr>
          <w:rFonts w:ascii="Times New Roman" w:hAnsi="Times New Roman"/>
          <w:sz w:val="21"/>
          <w:szCs w:val="21"/>
          <w:lang w:val="en-US"/>
        </w:rPr>
        <w:t xml:space="preserve">1、融资合同 </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从广义上讲，融资合同可能包括项目公司与贷款方签订的项目贷款合同、担保人就项目贷款与贷款方签订的担保合同、贷款方和项目公司签订的直接介入协议等多个合同。其中，最主要的融资合同是项目贷款合同。由于采用PPP模式的项目融资金额较大，通常项目公司会作为借款人与国际银团、国际性金融机构或国内金融机构等签订项目贷款合同。一般来讲，项目贷款合同中约定的主要条款包括：陈述与保证、先决条件、偿还贷款、担保与保障、抵销、违约、适用法律与争议解决等。</w:t>
      </w:r>
    </w:p>
    <w:p>
      <w:pPr>
        <w:jc w:val="both"/>
        <w:rPr>
          <w:rFonts w:ascii="Times New Roman" w:hAnsi="Times New Roman"/>
          <w:sz w:val="21"/>
          <w:szCs w:val="21"/>
          <w:lang w:val="en-US"/>
        </w:rPr>
      </w:pPr>
      <w:r>
        <w:rPr>
          <w:rFonts w:ascii="Times New Roman" w:hAnsi="Times New Roman"/>
          <w:sz w:val="21"/>
          <w:szCs w:val="21"/>
          <w:lang w:val="en-US"/>
        </w:rPr>
        <w:t xml:space="preserve">2、工程承包合同 </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项目公司一般只作为融资主体和项目管理者而存在，本身不一定具备自行设计、采购、建设项目的条件，因此可能会将部分或全部采购、建设工作委托给工程承包商，签订工程承包合同。项目公司可以就项目的采购、施工与单一承包商签订总承包合同，也可以分别与不同承包商签订合同。承包商的选择要依据相关法律法规的规定。</w:t>
      </w:r>
    </w:p>
    <w:p>
      <w:pPr>
        <w:jc w:val="both"/>
        <w:rPr>
          <w:rFonts w:ascii="Times New Roman" w:hAnsi="Times New Roman"/>
          <w:sz w:val="21"/>
          <w:szCs w:val="21"/>
          <w:lang w:val="en-US"/>
        </w:rPr>
      </w:pPr>
      <w:r>
        <w:rPr>
          <w:rFonts w:ascii="Times New Roman" w:hAnsi="Times New Roman"/>
          <w:sz w:val="21"/>
          <w:szCs w:val="21"/>
          <w:lang w:val="en-US"/>
        </w:rPr>
        <w:t xml:space="preserve">3、运营服务合同 </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根据PPP项目运营内容和项目公司管理能力的不同，项目公司有时会考虑将项目全部或部分的运营和维护事务外包给有经验的运营服务商，并与其签订运营服务合同。</w:t>
      </w:r>
    </w:p>
    <w:p>
      <w:pPr>
        <w:jc w:val="both"/>
        <w:rPr>
          <w:rFonts w:ascii="Times New Roman" w:hAnsi="Times New Roman"/>
          <w:sz w:val="21"/>
          <w:szCs w:val="21"/>
          <w:lang w:val="en-US"/>
        </w:rPr>
      </w:pPr>
      <w:r>
        <w:rPr>
          <w:rFonts w:ascii="Times New Roman" w:hAnsi="Times New Roman"/>
          <w:sz w:val="21"/>
          <w:szCs w:val="21"/>
          <w:lang w:val="en-US"/>
        </w:rPr>
        <w:t xml:space="preserve">4、保险合同 </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由于采用PPP模式的项目资金规模大、生命周期长，PPP模式参与方在考虑签订PPP保险合同时，通常需要考虑针对融资、建设、运营等多个阶段的哪些风险进行投保以及当地是否可以提供这些类型的保险等。在PPP模式中，通常涉及的保险类型包括运输阶段的货物险、建筑工程一切险等针对设计或其它专业服务的专业保障险、 针对间接损失的保险、第三人责任险、政治风险保险等。</w:t>
      </w:r>
    </w:p>
    <w:p>
      <w:pPr>
        <w:jc w:val="both"/>
        <w:rPr>
          <w:rFonts w:ascii="Times New Roman" w:hAnsi="Times New Roman"/>
          <w:sz w:val="21"/>
          <w:szCs w:val="21"/>
          <w:lang w:val="en-US"/>
        </w:rPr>
      </w:pPr>
      <w:r>
        <w:rPr>
          <w:rFonts w:ascii="Times New Roman" w:hAnsi="Times New Roman"/>
          <w:sz w:val="21"/>
          <w:szCs w:val="21"/>
          <w:lang w:val="en-US"/>
        </w:rPr>
        <w:t xml:space="preserve">5、其他合同 </w:t>
      </w:r>
    </w:p>
    <w:p>
      <w:pPr>
        <w:widowControl w:val="0"/>
        <w:numPr>
          <w:ilvl w:val="0"/>
          <w:numId w:val="0"/>
        </w:numPr>
        <w:adjustRightInd w:val="0"/>
        <w:snapToGrid w:val="0"/>
        <w:ind w:leftChars="100" w:firstLine="418" w:firstLineChars="0"/>
        <w:jc w:val="left"/>
        <w:rPr>
          <w:rFonts w:hint="eastAsia" w:ascii="Times New Roman" w:hAnsi="Times New Roman"/>
          <w:sz w:val="24"/>
          <w:szCs w:val="24"/>
          <w:lang w:val="en-US"/>
        </w:rPr>
      </w:pPr>
      <w:r>
        <w:rPr>
          <w:rFonts w:hint="eastAsia" w:ascii="Times New Roman" w:hAnsi="Times New Roman"/>
          <w:sz w:val="24"/>
          <w:szCs w:val="24"/>
          <w:lang w:val="en-US"/>
        </w:rPr>
        <w:t>在不同PPP项目中还可能会涉及其他的合同，例如与专业顾问单位签署的工程咨询顾问合同、财务顾问合同、税务顾问合同以及法律顾问合同等。</w:t>
      </w:r>
      <w:bookmarkStart w:id="84" w:name="_Toc504637089"/>
    </w:p>
    <w:bookmarkEnd w:id="84"/>
    <w:p>
      <w:pPr>
        <w:widowControl w:val="0"/>
        <w:numPr>
          <w:ilvl w:val="0"/>
          <w:numId w:val="0"/>
        </w:numPr>
        <w:adjustRightInd w:val="0"/>
        <w:snapToGrid w:val="0"/>
        <w:spacing w:line="360" w:lineRule="auto"/>
        <w:jc w:val="both"/>
        <w:rPr>
          <w:rFonts w:ascii="Times New Roman"/>
        </w:rPr>
      </w:pPr>
      <w:bookmarkStart w:id="85" w:name="_Toc504637092"/>
      <w:r>
        <w:rPr>
          <w:rFonts w:hint="eastAsia" w:ascii="Times New Roman"/>
          <w:lang w:val="en-US" w:eastAsia="zh-CN"/>
        </w:rPr>
        <w:t>5</w:t>
      </w:r>
      <w:r>
        <w:rPr>
          <w:rFonts w:ascii="Times New Roman"/>
        </w:rPr>
        <w:t>.</w:t>
      </w:r>
      <w:r>
        <w:rPr>
          <w:rFonts w:hint="eastAsia" w:ascii="Times New Roman"/>
          <w:lang w:val="en-US" w:eastAsia="zh-CN"/>
        </w:rPr>
        <w:t>3</w:t>
      </w:r>
      <w:r>
        <w:rPr>
          <w:rFonts w:ascii="Times New Roman"/>
        </w:rPr>
        <w:t>项目边界条件</w:t>
      </w:r>
      <w:bookmarkEnd w:id="85"/>
      <w:bookmarkStart w:id="86" w:name="_Toc504637093"/>
    </w:p>
    <w:p>
      <w:pPr>
        <w:widowControl w:val="0"/>
        <w:numPr>
          <w:ilvl w:val="0"/>
          <w:numId w:val="0"/>
        </w:numPr>
        <w:adjustRightInd w:val="0"/>
        <w:snapToGrid w:val="0"/>
        <w:spacing w:line="360" w:lineRule="auto"/>
        <w:jc w:val="both"/>
        <w:rPr>
          <w:rFonts w:ascii="Times New Roman"/>
        </w:rPr>
      </w:pPr>
      <w:r>
        <w:rPr>
          <w:rFonts w:hint="eastAsia" w:ascii="Times New Roman"/>
          <w:lang w:val="en-US" w:eastAsia="zh-CN"/>
        </w:rPr>
        <w:t>5</w:t>
      </w:r>
      <w:r>
        <w:rPr>
          <w:rFonts w:ascii="Times New Roman"/>
        </w:rPr>
        <w:t>.</w:t>
      </w:r>
      <w:r>
        <w:rPr>
          <w:rFonts w:hint="eastAsia" w:ascii="Times New Roman"/>
          <w:lang w:val="en-US" w:eastAsia="zh-CN"/>
        </w:rPr>
        <w:t>3</w:t>
      </w:r>
      <w:r>
        <w:rPr>
          <w:rFonts w:ascii="Times New Roman"/>
        </w:rPr>
        <w:t>.1权利义务边界</w:t>
      </w:r>
      <w:bookmarkEnd w:id="86"/>
    </w:p>
    <w:p>
      <w:pPr>
        <w:spacing w:line="360" w:lineRule="auto"/>
        <w:ind w:firstLine="482" w:firstLineChars="0"/>
        <w:rPr>
          <w:rFonts w:hint="eastAsia" w:ascii="Times New Roman" w:hAnsi="Times New Roman"/>
          <w:sz w:val="24"/>
          <w:szCs w:val="24"/>
          <w:lang w:val="en-US"/>
        </w:rPr>
      </w:pPr>
      <w:r>
        <w:rPr>
          <w:rFonts w:hint="eastAsia" w:ascii="Times New Roman" w:hAnsi="Times New Roman"/>
          <w:sz w:val="24"/>
          <w:szCs w:val="24"/>
          <w:lang w:val="en-US"/>
        </w:rPr>
        <w:t>项目公司在项目经营期限内负责项目投融资、建设、运营、维护和用户服务。市政府按照PPP项目合同约定提供建设期政策支持、对本项目建设与运营维护进行协调、监督；运营期支付项目公司可用性服务费和运维绩效服务费。</w:t>
      </w:r>
      <w:bookmarkStart w:id="87" w:name="_Toc504637094"/>
    </w:p>
    <w:p>
      <w:pPr>
        <w:spacing w:line="360" w:lineRule="auto"/>
        <w:ind w:left="0" w:leftChars="0" w:firstLine="0" w:firstLineChars="0"/>
        <w:rPr>
          <w:rFonts w:ascii="Times New Roman"/>
        </w:rPr>
      </w:pPr>
      <w:r>
        <w:rPr>
          <w:rFonts w:hint="eastAsia" w:ascii="Times New Roman"/>
          <w:lang w:val="en-US" w:eastAsia="zh-CN"/>
        </w:rPr>
        <w:t>5</w:t>
      </w:r>
      <w:r>
        <w:rPr>
          <w:rFonts w:ascii="Times New Roman"/>
        </w:rPr>
        <w:t>.</w:t>
      </w:r>
      <w:r>
        <w:rPr>
          <w:rFonts w:hint="eastAsia" w:ascii="Times New Roman"/>
          <w:lang w:val="en-US" w:eastAsia="zh-CN"/>
        </w:rPr>
        <w:t>3</w:t>
      </w:r>
      <w:r>
        <w:rPr>
          <w:rFonts w:ascii="Times New Roman"/>
        </w:rPr>
        <w:t>.2交易条件边界</w:t>
      </w:r>
      <w:bookmarkEnd w:id="87"/>
    </w:p>
    <w:p>
      <w:pPr>
        <w:spacing w:line="360" w:lineRule="auto"/>
        <w:ind w:left="0" w:leftChars="0" w:firstLine="420" w:firstLineChars="0"/>
        <w:rPr>
          <w:rFonts w:hint="eastAsia" w:ascii="Times New Roman" w:hAnsi="Times New Roman" w:eastAsia="宋体" w:cstheme="minorBidi"/>
          <w:b w:val="0"/>
          <w:bCs w:val="0"/>
          <w:kern w:val="2"/>
          <w:sz w:val="24"/>
          <w:szCs w:val="24"/>
          <w:lang w:val="en-US" w:eastAsia="zh-CN" w:bidi="ar-SA"/>
        </w:rPr>
      </w:pPr>
      <w:r>
        <w:rPr>
          <w:rFonts w:hint="eastAsia" w:ascii="Times New Roman" w:hAnsi="Times New Roman" w:eastAsia="宋体" w:cstheme="minorBidi"/>
          <w:b w:val="0"/>
          <w:bCs w:val="0"/>
          <w:kern w:val="2"/>
          <w:sz w:val="24"/>
          <w:szCs w:val="24"/>
          <w:lang w:val="en-US" w:eastAsia="zh-CN" w:bidi="ar-SA"/>
        </w:rPr>
        <w:t>主要明确PPP项目合同期限、项目回报机制、项目运营维护、项目参建单位的选择及管理等内容。</w:t>
      </w:r>
    </w:p>
    <w:p>
      <w:pPr>
        <w:spacing w:line="360" w:lineRule="auto"/>
        <w:ind w:left="0" w:leftChars="0" w:firstLine="420" w:firstLineChars="0"/>
        <w:rPr>
          <w:rFonts w:ascii="Times New Roman" w:hAnsi="Times New Roman"/>
          <w:b w:val="0"/>
        </w:rPr>
      </w:pPr>
      <w:r>
        <w:rPr>
          <w:rFonts w:hint="eastAsia" w:ascii="Times New Roman" w:hAnsi="Times New Roman" w:cstheme="minorBidi"/>
          <w:b w:val="0"/>
          <w:bCs w:val="0"/>
          <w:kern w:val="2"/>
          <w:sz w:val="24"/>
          <w:szCs w:val="24"/>
          <w:lang w:val="en-US" w:eastAsia="zh-CN" w:bidi="ar-SA"/>
        </w:rPr>
        <w:t>5</w:t>
      </w:r>
      <w:r>
        <w:rPr>
          <w:rFonts w:ascii="Times New Roman" w:hAnsi="Times New Roman"/>
          <w:b w:val="0"/>
        </w:rPr>
        <w:t>.</w:t>
      </w:r>
      <w:r>
        <w:rPr>
          <w:rFonts w:hint="eastAsia" w:ascii="Times New Roman" w:hAnsi="Times New Roman"/>
          <w:b w:val="0"/>
          <w:lang w:val="en-US" w:eastAsia="zh-CN"/>
        </w:rPr>
        <w:t>3</w:t>
      </w:r>
      <w:r>
        <w:rPr>
          <w:rFonts w:ascii="Times New Roman" w:hAnsi="Times New Roman"/>
          <w:b w:val="0"/>
        </w:rPr>
        <w:t>.2.1经营期</w:t>
      </w:r>
    </w:p>
    <w:p>
      <w:pPr>
        <w:spacing w:line="360" w:lineRule="auto"/>
        <w:ind w:firstLine="482" w:firstLineChars="0"/>
        <w:rPr>
          <w:rFonts w:hint="eastAsia" w:ascii="Times New Roman" w:hAnsi="Times New Roman"/>
          <w:sz w:val="24"/>
          <w:szCs w:val="24"/>
          <w:lang w:val="en-US"/>
        </w:rPr>
      </w:pPr>
      <w:r>
        <w:rPr>
          <w:rFonts w:hint="eastAsia" w:ascii="Times New Roman" w:hAnsi="Times New Roman"/>
          <w:sz w:val="24"/>
          <w:szCs w:val="24"/>
          <w:lang w:val="en-US"/>
        </w:rPr>
        <w:t>根据《基础设施和公用事业特许经营管理办法》(国家发改委等六部委第25号令)第六条规定，“基础设施和公用事业特许经营期限应当根据行业特点、所提供公共产品或服务需求、投资回收期等综合因素确定，最长不超过30年”。</w:t>
      </w:r>
    </w:p>
    <w:p>
      <w:pPr>
        <w:ind w:firstLine="482" w:firstLineChars="0"/>
        <w:rPr>
          <w:rFonts w:ascii="Times New Roman" w:hAnsi="Times New Roman"/>
          <w:sz w:val="21"/>
          <w:szCs w:val="21"/>
        </w:rPr>
      </w:pPr>
      <w:r>
        <w:rPr>
          <w:rFonts w:hint="eastAsia" w:ascii="Times New Roman" w:hAnsi="Times New Roman"/>
          <w:sz w:val="24"/>
          <w:szCs w:val="24"/>
        </w:rPr>
        <w:t>根据本项目的特点及财政收支情况，建议本项目经营期设置为13.5年，包括建设期1.5年和运营维护期12年，若建设期时间调整，则经营期时间也相应调整。经营期包括建设期和运营维护期，建设期内完成项目建设，并经交工验收合格后，方可通车，即进入运营维护期。</w:t>
      </w:r>
    </w:p>
    <w:p>
      <w:pPr>
        <w:jc w:val="both"/>
        <w:rPr>
          <w:rFonts w:ascii="Times New Roman" w:hAnsi="Times New Roman"/>
          <w:b w:val="0"/>
        </w:rPr>
      </w:pPr>
      <w:r>
        <w:rPr>
          <w:rFonts w:hint="eastAsia" w:ascii="Times New Roman" w:hAnsi="Times New Roman"/>
          <w:b w:val="0"/>
          <w:lang w:val="en-US" w:eastAsia="zh-CN"/>
        </w:rPr>
        <w:t>5</w:t>
      </w:r>
      <w:r>
        <w:rPr>
          <w:rFonts w:ascii="Times New Roman" w:hAnsi="Times New Roman"/>
          <w:b w:val="0"/>
        </w:rPr>
        <w:t>.</w:t>
      </w:r>
      <w:r>
        <w:rPr>
          <w:rFonts w:hint="eastAsia" w:ascii="Times New Roman" w:hAnsi="Times New Roman"/>
          <w:b w:val="0"/>
          <w:lang w:val="en-US" w:eastAsia="zh-CN"/>
        </w:rPr>
        <w:t>3</w:t>
      </w:r>
      <w:r>
        <w:rPr>
          <w:rFonts w:ascii="Times New Roman" w:hAnsi="Times New Roman"/>
          <w:b w:val="0"/>
        </w:rPr>
        <w:t>.2.2 经营权</w:t>
      </w:r>
    </w:p>
    <w:p>
      <w:pPr>
        <w:ind w:firstLine="482" w:firstLineChars="0"/>
        <w:rPr>
          <w:rFonts w:hint="eastAsia" w:ascii="Times New Roman" w:hAnsi="Times New Roman"/>
          <w:sz w:val="24"/>
          <w:szCs w:val="24"/>
        </w:rPr>
      </w:pPr>
      <w:r>
        <w:rPr>
          <w:rFonts w:hint="eastAsia" w:ascii="Times New Roman" w:hAnsi="Times New Roman"/>
          <w:sz w:val="24"/>
          <w:szCs w:val="24"/>
        </w:rPr>
        <w:t>项目公司享有以下经营权：</w:t>
      </w:r>
    </w:p>
    <w:p>
      <w:pPr>
        <w:ind w:firstLine="482" w:firstLineChars="0"/>
        <w:rPr>
          <w:rFonts w:hint="eastAsia" w:ascii="Times New Roman" w:hAnsi="Times New Roman"/>
          <w:sz w:val="24"/>
          <w:szCs w:val="24"/>
        </w:rPr>
      </w:pPr>
      <w:r>
        <w:rPr>
          <w:rFonts w:hint="eastAsia" w:ascii="Times New Roman" w:hAnsi="Times New Roman"/>
          <w:sz w:val="24"/>
          <w:szCs w:val="24"/>
        </w:rPr>
        <w:t>①按照PPP项目合同要求和经批复的设计文件，自行承担费用、责任和风险，负责本项目的投</w:t>
      </w:r>
      <w:r>
        <w:rPr>
          <w:rFonts w:hint="eastAsia" w:ascii="Times New Roman" w:hAnsi="Times New Roman"/>
          <w:sz w:val="24"/>
          <w:szCs w:val="24"/>
          <w:lang w:val="en-US"/>
        </w:rPr>
        <w:t>融</w:t>
      </w:r>
      <w:r>
        <w:rPr>
          <w:rFonts w:hint="eastAsia" w:ascii="Times New Roman" w:hAnsi="Times New Roman"/>
          <w:sz w:val="24"/>
          <w:szCs w:val="24"/>
        </w:rPr>
        <w:t>资、优化设计、建设，并对本项目工程提供运营维护服务；</w:t>
      </w:r>
    </w:p>
    <w:p>
      <w:pPr>
        <w:ind w:firstLine="482" w:firstLineChars="0"/>
        <w:rPr>
          <w:rFonts w:hint="eastAsia" w:ascii="Times New Roman" w:hAnsi="Times New Roman"/>
          <w:sz w:val="24"/>
          <w:szCs w:val="24"/>
        </w:rPr>
      </w:pPr>
      <w:r>
        <w:rPr>
          <w:rFonts w:hint="eastAsia" w:ascii="Times New Roman" w:hAnsi="Times New Roman"/>
          <w:sz w:val="24"/>
          <w:szCs w:val="24"/>
        </w:rPr>
        <w:t>②按照PPP项目合同的约定获得相关服务费用；</w:t>
      </w:r>
    </w:p>
    <w:p>
      <w:pPr>
        <w:ind w:firstLine="482" w:firstLineChars="0"/>
        <w:rPr>
          <w:rFonts w:hint="eastAsia" w:ascii="Times New Roman" w:hAnsi="Times New Roman"/>
          <w:sz w:val="24"/>
          <w:szCs w:val="24"/>
        </w:rPr>
      </w:pPr>
      <w:r>
        <w:rPr>
          <w:rFonts w:hint="eastAsia" w:ascii="Times New Roman" w:hAnsi="Times New Roman"/>
          <w:sz w:val="24"/>
          <w:szCs w:val="24"/>
        </w:rPr>
        <w:t>③</w:t>
      </w:r>
      <w:r>
        <w:rPr>
          <w:rFonts w:hint="eastAsia" w:ascii="Times New Roman" w:hAnsi="Times New Roman"/>
          <w:sz w:val="24"/>
          <w:szCs w:val="24"/>
          <w:lang w:val="en-US"/>
        </w:rPr>
        <w:t>合作期</w:t>
      </w:r>
      <w:r>
        <w:rPr>
          <w:rFonts w:hint="eastAsia" w:ascii="Times New Roman" w:hAnsi="Times New Roman"/>
          <w:sz w:val="24"/>
          <w:szCs w:val="24"/>
        </w:rPr>
        <w:t>届满，将项目及其附属设施完好无偿移交给项目实施机构或政府指定的其他机构。</w:t>
      </w:r>
    </w:p>
    <w:p>
      <w:pPr>
        <w:numPr>
          <w:ilvl w:val="0"/>
          <w:numId w:val="0"/>
        </w:numPr>
        <w:ind w:leftChars="200"/>
        <w:jc w:val="both"/>
        <w:rPr>
          <w:rFonts w:ascii="Times New Roman" w:hAnsi="Times New Roman"/>
          <w:b w:val="0"/>
        </w:rPr>
      </w:pPr>
      <w:r>
        <w:rPr>
          <w:rFonts w:hint="eastAsia" w:ascii="Times New Roman" w:hAnsi="Times New Roman"/>
          <w:b w:val="0"/>
          <w:lang w:val="en-US" w:eastAsia="zh-CN"/>
        </w:rPr>
        <w:t>5</w:t>
      </w:r>
      <w:r>
        <w:rPr>
          <w:rFonts w:ascii="Times New Roman" w:hAnsi="Times New Roman"/>
          <w:b w:val="0"/>
        </w:rPr>
        <w:t>.</w:t>
      </w:r>
      <w:r>
        <w:rPr>
          <w:rFonts w:hint="eastAsia" w:ascii="Times New Roman" w:hAnsi="Times New Roman"/>
          <w:b w:val="0"/>
          <w:lang w:val="en-US" w:eastAsia="zh-CN"/>
        </w:rPr>
        <w:t>3</w:t>
      </w:r>
      <w:r>
        <w:rPr>
          <w:rFonts w:ascii="Times New Roman" w:hAnsi="Times New Roman"/>
          <w:b w:val="0"/>
        </w:rPr>
        <w:t>.2.3 合同价组成、支付与调整</w:t>
      </w:r>
    </w:p>
    <w:p>
      <w:pPr>
        <w:ind w:firstLine="482" w:firstLineChars="0"/>
        <w:rPr>
          <w:rFonts w:hint="eastAsia" w:ascii="Times New Roman" w:hAnsi="Times New Roman"/>
          <w:sz w:val="24"/>
          <w:szCs w:val="24"/>
        </w:rPr>
      </w:pPr>
      <w:r>
        <w:rPr>
          <w:rFonts w:hint="eastAsia" w:ascii="Times New Roman" w:hAnsi="Times New Roman"/>
          <w:sz w:val="24"/>
          <w:szCs w:val="24"/>
        </w:rPr>
        <w:t>本项目参照“基于可用性的绩效合同”模式，</w:t>
      </w:r>
      <w:r>
        <w:rPr>
          <w:rFonts w:hint="eastAsia" w:ascii="Times New Roman" w:hAnsi="Times New Roman"/>
          <w:sz w:val="24"/>
          <w:szCs w:val="24"/>
          <w:lang w:val="en-US"/>
        </w:rPr>
        <w:t>项目实施机构</w:t>
      </w:r>
      <w:r>
        <w:rPr>
          <w:rFonts w:hint="eastAsia" w:ascii="Times New Roman" w:hAnsi="Times New Roman"/>
          <w:sz w:val="24"/>
          <w:szCs w:val="24"/>
        </w:rPr>
        <w:t>将根据PPP项目合同约定</w:t>
      </w:r>
      <w:r>
        <w:rPr>
          <w:rFonts w:hint="eastAsia" w:ascii="Times New Roman" w:hAnsi="Times New Roman"/>
          <w:sz w:val="24"/>
          <w:szCs w:val="24"/>
          <w:lang w:val="en-US"/>
        </w:rPr>
        <w:t>及绩效考核结果</w:t>
      </w:r>
      <w:r>
        <w:rPr>
          <w:rFonts w:hint="eastAsia" w:ascii="Times New Roman" w:hAnsi="Times New Roman"/>
          <w:sz w:val="24"/>
          <w:szCs w:val="24"/>
        </w:rPr>
        <w:t>按期支付可用性服务费和运维绩效服务费。</w:t>
      </w:r>
    </w:p>
    <w:p>
      <w:pPr>
        <w:numPr>
          <w:ilvl w:val="0"/>
          <w:numId w:val="0"/>
        </w:numPr>
        <w:spacing w:before="156" w:beforeLines="50" w:after="156" w:afterLines="50"/>
        <w:ind w:firstLine="420" w:firstLineChars="0"/>
        <w:rPr>
          <w:rFonts w:ascii="Times New Roman" w:hAnsi="Times New Roman"/>
          <w:b/>
          <w:sz w:val="21"/>
          <w:szCs w:val="21"/>
        </w:rPr>
      </w:pPr>
      <w:r>
        <w:rPr>
          <w:rFonts w:hint="eastAsia" w:ascii="Times New Roman" w:hAnsi="Times New Roman"/>
          <w:b/>
          <w:sz w:val="21"/>
          <w:szCs w:val="21"/>
          <w:lang w:val="en-US" w:eastAsia="zh-CN"/>
        </w:rPr>
        <w:t>(1)</w:t>
      </w:r>
      <w:r>
        <w:rPr>
          <w:rFonts w:ascii="Times New Roman" w:hAnsi="Times New Roman"/>
          <w:b/>
          <w:sz w:val="21"/>
          <w:szCs w:val="21"/>
        </w:rPr>
        <w:t>可用性服务费</w:t>
      </w:r>
    </w:p>
    <w:p>
      <w:pPr>
        <w:ind w:firstLine="482" w:firstLineChars="0"/>
        <w:rPr>
          <w:rFonts w:hint="eastAsia" w:ascii="Times New Roman" w:hAnsi="Times New Roman"/>
          <w:sz w:val="24"/>
          <w:szCs w:val="24"/>
        </w:rPr>
      </w:pPr>
      <w:r>
        <w:rPr>
          <w:rFonts w:hint="eastAsia" w:ascii="Times New Roman" w:hAnsi="Times New Roman"/>
          <w:sz w:val="24"/>
          <w:szCs w:val="24"/>
        </w:rPr>
        <w:t>可用性服务费的组成：主要包括项目全部建设成本（包括建筑安装工程费、设备工器具采购费、工程建设其他费、预备费、保通费、建设期利息等）以及基于项目全部建设成本的投资收益等部分组成。</w:t>
      </w:r>
    </w:p>
    <w:p>
      <w:pPr>
        <w:ind w:firstLine="482" w:firstLineChars="0"/>
        <w:rPr>
          <w:rFonts w:hint="eastAsia" w:ascii="Times New Roman" w:hAnsi="Times New Roman"/>
          <w:sz w:val="24"/>
          <w:szCs w:val="24"/>
        </w:rPr>
      </w:pPr>
      <w:r>
        <w:rPr>
          <w:rFonts w:hint="eastAsia" w:ascii="Times New Roman" w:hAnsi="Times New Roman"/>
          <w:sz w:val="24"/>
          <w:szCs w:val="24"/>
        </w:rPr>
        <w:t>本项目可用性服务费为对项目全生命周期内可用性的考核，可用性服务费的付费依据为项目建设期绩效和运营绩效综合考核的结果。</w:t>
      </w:r>
    </w:p>
    <w:p>
      <w:pPr>
        <w:ind w:firstLine="482" w:firstLineChars="0"/>
        <w:rPr>
          <w:rFonts w:hint="eastAsia" w:ascii="Times New Roman" w:hAnsi="Times New Roman"/>
          <w:sz w:val="24"/>
          <w:szCs w:val="24"/>
        </w:rPr>
      </w:pPr>
      <w:r>
        <w:rPr>
          <w:rFonts w:hint="eastAsia" w:ascii="Times New Roman" w:hAnsi="Times New Roman"/>
          <w:sz w:val="24"/>
          <w:szCs w:val="24"/>
        </w:rPr>
        <w:t>可用性服务费的调整：参照</w:t>
      </w:r>
      <w:r>
        <w:rPr>
          <w:rFonts w:hint="eastAsia" w:ascii="Times New Roman" w:hAnsi="Times New Roman"/>
          <w:sz w:val="24"/>
          <w:szCs w:val="24"/>
          <w:lang w:eastAsia="zh-CN"/>
        </w:rPr>
        <w:t>“</w:t>
      </w:r>
      <w:r>
        <w:rPr>
          <w:rFonts w:hint="eastAsia" w:ascii="Times New Roman" w:hAnsi="Times New Roman"/>
          <w:sz w:val="24"/>
          <w:szCs w:val="24"/>
        </w:rPr>
        <w:t>付费调价机制”和“绩效考核”，调整相应的可用性服务费。</w:t>
      </w:r>
    </w:p>
    <w:p>
      <w:pPr>
        <w:ind w:firstLine="482" w:firstLineChars="0"/>
        <w:rPr>
          <w:rFonts w:hint="eastAsia" w:ascii="Times New Roman" w:hAnsi="Times New Roman"/>
          <w:sz w:val="24"/>
          <w:szCs w:val="24"/>
        </w:rPr>
      </w:pPr>
      <w:r>
        <w:rPr>
          <w:rFonts w:hint="eastAsia" w:ascii="Times New Roman" w:hAnsi="Times New Roman"/>
          <w:sz w:val="24"/>
          <w:szCs w:val="24"/>
        </w:rPr>
        <w:t>可用性服务费的支付：按照PPP项目合同约定的额度（或比例）、进度等，</w:t>
      </w:r>
      <w:r>
        <w:rPr>
          <w:rFonts w:hint="eastAsia" w:ascii="Times New Roman" w:hAnsi="Times New Roman"/>
          <w:sz w:val="24"/>
          <w:szCs w:val="24"/>
          <w:lang w:val="en-US"/>
        </w:rPr>
        <w:t>并结合调价机制和绩效考核结果</w:t>
      </w:r>
      <w:r>
        <w:rPr>
          <w:rFonts w:hint="eastAsia" w:ascii="Times New Roman" w:hAnsi="Times New Roman"/>
          <w:sz w:val="24"/>
          <w:szCs w:val="24"/>
        </w:rPr>
        <w:t>，由</w:t>
      </w:r>
      <w:r>
        <w:rPr>
          <w:rFonts w:hint="eastAsia" w:ascii="Times New Roman" w:hAnsi="Times New Roman"/>
          <w:sz w:val="24"/>
          <w:szCs w:val="24"/>
          <w:lang w:val="en-US"/>
        </w:rPr>
        <w:t>项目实施机构</w:t>
      </w:r>
      <w:r>
        <w:rPr>
          <w:rFonts w:hint="eastAsia" w:ascii="Times New Roman" w:hAnsi="Times New Roman"/>
          <w:sz w:val="24"/>
          <w:szCs w:val="24"/>
        </w:rPr>
        <w:t>根据付费责任按时、足额支付。</w:t>
      </w:r>
    </w:p>
    <w:p>
      <w:pPr>
        <w:ind w:firstLine="482" w:firstLineChars="0"/>
        <w:rPr>
          <w:rFonts w:ascii="Times New Roman" w:hAnsi="Times New Roman"/>
          <w:b/>
          <w:sz w:val="21"/>
          <w:szCs w:val="21"/>
        </w:rPr>
      </w:pPr>
      <w:r>
        <w:rPr>
          <w:rFonts w:hint="eastAsia" w:ascii="Times New Roman" w:hAnsi="Times New Roman"/>
          <w:sz w:val="24"/>
          <w:szCs w:val="24"/>
          <w:lang w:val="en-US" w:eastAsia="zh-CN"/>
        </w:rPr>
        <w:t>(2)</w:t>
      </w:r>
      <w:r>
        <w:rPr>
          <w:rFonts w:ascii="Times New Roman" w:hAnsi="Times New Roman"/>
          <w:b/>
          <w:sz w:val="21"/>
          <w:szCs w:val="21"/>
        </w:rPr>
        <w:t>运维绩效服务费</w:t>
      </w:r>
    </w:p>
    <w:p>
      <w:pPr>
        <w:ind w:firstLine="482" w:firstLineChars="0"/>
        <w:rPr>
          <w:rFonts w:hint="eastAsia" w:ascii="Times New Roman" w:hAnsi="Times New Roman"/>
          <w:sz w:val="24"/>
          <w:szCs w:val="24"/>
        </w:rPr>
      </w:pPr>
      <w:r>
        <w:rPr>
          <w:rFonts w:hint="eastAsia" w:ascii="Times New Roman" w:hAnsi="Times New Roman"/>
          <w:sz w:val="24"/>
          <w:szCs w:val="24"/>
        </w:rPr>
        <w:t>达到运营目标的，次年相应月份（</w:t>
      </w:r>
      <w:r>
        <w:rPr>
          <w:rFonts w:hint="eastAsia" w:ascii="Times New Roman" w:hAnsi="Times New Roman"/>
          <w:sz w:val="24"/>
          <w:szCs w:val="24"/>
          <w:lang w:val="en-US"/>
        </w:rPr>
        <w:t>结合</w:t>
      </w:r>
      <w:r>
        <w:rPr>
          <w:rFonts w:hint="eastAsia" w:ascii="Times New Roman" w:hAnsi="Times New Roman"/>
          <w:sz w:val="24"/>
          <w:szCs w:val="24"/>
        </w:rPr>
        <w:t>市人大会</w:t>
      </w:r>
      <w:r>
        <w:rPr>
          <w:rFonts w:hint="eastAsia" w:ascii="Times New Roman" w:hAnsi="Times New Roman"/>
          <w:sz w:val="24"/>
          <w:szCs w:val="24"/>
          <w:lang w:val="en-US"/>
        </w:rPr>
        <w:t>时间</w:t>
      </w:r>
      <w:r>
        <w:rPr>
          <w:rFonts w:hint="eastAsia" w:ascii="Times New Roman" w:hAnsi="Times New Roman"/>
          <w:sz w:val="24"/>
          <w:szCs w:val="24"/>
        </w:rPr>
        <w:t>）之前，支付相应年度运营维护费的100%。</w:t>
      </w:r>
    </w:p>
    <w:p>
      <w:pPr>
        <w:ind w:firstLine="482" w:firstLineChars="0"/>
        <w:rPr>
          <w:rFonts w:hint="eastAsia" w:ascii="Times New Roman" w:hAnsi="Times New Roman"/>
          <w:sz w:val="24"/>
          <w:szCs w:val="24"/>
        </w:rPr>
      </w:pPr>
      <w:r>
        <w:rPr>
          <w:rFonts w:hint="eastAsia" w:ascii="Times New Roman" w:hAnsi="Times New Roman"/>
          <w:sz w:val="24"/>
          <w:szCs w:val="24"/>
        </w:rPr>
        <w:t>运营维护期绩效服务费调整，参照“付费调价机制”和“绩效考核”章节，调整相应的运维绩效服务费。</w:t>
      </w:r>
    </w:p>
    <w:p>
      <w:pPr>
        <w:ind w:firstLine="482" w:firstLineChars="0"/>
        <w:rPr>
          <w:rFonts w:hint="eastAsia" w:ascii="Times New Roman" w:hAnsi="Times New Roman"/>
          <w:sz w:val="24"/>
          <w:szCs w:val="24"/>
        </w:rPr>
      </w:pPr>
      <w:r>
        <w:rPr>
          <w:rFonts w:hint="eastAsia" w:ascii="Times New Roman" w:hAnsi="Times New Roman"/>
          <w:sz w:val="24"/>
          <w:szCs w:val="24"/>
        </w:rPr>
        <w:t>运维绩效服务费的支付：按照PPP项目合同约定的额度（或比例）、进度等，</w:t>
      </w:r>
      <w:r>
        <w:rPr>
          <w:rFonts w:hint="eastAsia" w:ascii="Times New Roman" w:hAnsi="Times New Roman"/>
          <w:sz w:val="24"/>
          <w:szCs w:val="24"/>
          <w:lang w:val="en-US"/>
        </w:rPr>
        <w:t>并结合调价机制和绩效考核结果</w:t>
      </w:r>
      <w:r>
        <w:rPr>
          <w:rFonts w:hint="eastAsia" w:ascii="Times New Roman" w:hAnsi="Times New Roman"/>
          <w:sz w:val="24"/>
          <w:szCs w:val="24"/>
        </w:rPr>
        <w:t>，由</w:t>
      </w:r>
      <w:r>
        <w:rPr>
          <w:rFonts w:hint="eastAsia" w:ascii="Times New Roman" w:hAnsi="Times New Roman"/>
          <w:sz w:val="24"/>
          <w:szCs w:val="24"/>
          <w:lang w:val="en-US"/>
        </w:rPr>
        <w:t>项目实施机构</w:t>
      </w:r>
      <w:r>
        <w:rPr>
          <w:rFonts w:hint="eastAsia" w:ascii="Times New Roman" w:hAnsi="Times New Roman"/>
          <w:sz w:val="24"/>
          <w:szCs w:val="24"/>
        </w:rPr>
        <w:t>根据付费责任按时、足额支付。</w:t>
      </w:r>
    </w:p>
    <w:p>
      <w:pPr>
        <w:widowControl w:val="0"/>
        <w:numPr>
          <w:ilvl w:val="0"/>
          <w:numId w:val="0"/>
        </w:numPr>
        <w:adjustRightInd w:val="0"/>
        <w:snapToGrid w:val="0"/>
        <w:spacing w:before="156" w:beforeLines="50" w:after="156" w:afterLines="50"/>
        <w:ind w:firstLine="420" w:firstLineChars="0"/>
        <w:jc w:val="both"/>
        <w:rPr>
          <w:rFonts w:ascii="Times New Roman" w:hAnsi="Times New Roman"/>
          <w:b w:val="0"/>
        </w:rPr>
      </w:pPr>
      <w:r>
        <w:rPr>
          <w:rFonts w:hint="eastAsia" w:ascii="Times New Roman" w:hAnsi="Times New Roman"/>
          <w:b w:val="0"/>
          <w:lang w:val="en-US" w:eastAsia="zh-CN"/>
        </w:rPr>
        <w:t>5</w:t>
      </w:r>
      <w:r>
        <w:rPr>
          <w:rFonts w:ascii="Times New Roman" w:hAnsi="Times New Roman"/>
          <w:b w:val="0"/>
        </w:rPr>
        <w:t>.</w:t>
      </w:r>
      <w:r>
        <w:rPr>
          <w:rFonts w:hint="eastAsia" w:ascii="Times New Roman" w:hAnsi="Times New Roman"/>
          <w:b w:val="0"/>
          <w:lang w:val="en-US" w:eastAsia="zh-CN"/>
        </w:rPr>
        <w:t>3</w:t>
      </w:r>
      <w:r>
        <w:rPr>
          <w:rFonts w:ascii="Times New Roman" w:hAnsi="Times New Roman"/>
          <w:b w:val="0"/>
        </w:rPr>
        <w:t>.2.4 项目各参建单位的选择与管理</w:t>
      </w:r>
    </w:p>
    <w:p>
      <w:pPr>
        <w:widowControl w:val="0"/>
        <w:numPr>
          <w:ilvl w:val="0"/>
          <w:numId w:val="0"/>
        </w:numPr>
        <w:adjustRightInd w:val="0"/>
        <w:snapToGrid w:val="0"/>
        <w:spacing w:before="156" w:beforeLines="50" w:after="156" w:afterLines="50"/>
        <w:ind w:firstLine="420" w:firstLineChars="0"/>
        <w:jc w:val="both"/>
        <w:rPr>
          <w:rFonts w:ascii="Times New Roman" w:hAnsi="Times New Roman"/>
          <w:b/>
          <w:sz w:val="28"/>
        </w:rPr>
      </w:pPr>
      <w:r>
        <w:rPr>
          <w:rFonts w:ascii="Times New Roman" w:hAnsi="Times New Roman" w:eastAsia="宋体"/>
          <w:b/>
          <w:sz w:val="28"/>
        </w:rPr>
        <w:t>①</w:t>
      </w:r>
      <w:r>
        <w:rPr>
          <w:rFonts w:ascii="Times New Roman" w:hAnsi="Times New Roman"/>
          <w:b/>
          <w:sz w:val="28"/>
        </w:rPr>
        <w:t xml:space="preserve"> 关于施工总承包方的确定</w:t>
      </w:r>
    </w:p>
    <w:p>
      <w:pPr>
        <w:ind w:firstLine="482" w:firstLineChars="0"/>
        <w:rPr>
          <w:rFonts w:hint="eastAsia" w:ascii="Times New Roman" w:hAnsi="Times New Roman"/>
          <w:sz w:val="24"/>
          <w:szCs w:val="24"/>
        </w:rPr>
      </w:pPr>
      <w:r>
        <w:rPr>
          <w:rFonts w:hint="eastAsia" w:ascii="Times New Roman" w:hAnsi="Times New Roman"/>
          <w:sz w:val="24"/>
          <w:szCs w:val="24"/>
        </w:rPr>
        <w:t>根据《招标投标法实施条例》（</w:t>
      </w:r>
      <w:r>
        <w:rPr>
          <w:rFonts w:hint="eastAsia" w:ascii="Times New Roman" w:hAnsi="Times New Roman"/>
          <w:sz w:val="24"/>
          <w:szCs w:val="24"/>
          <w:lang w:val="en-US"/>
        </w:rPr>
        <w:t>国务院令第613号</w:t>
      </w:r>
      <w:r>
        <w:rPr>
          <w:rFonts w:hint="eastAsia" w:ascii="Times New Roman" w:hAnsi="Times New Roman"/>
          <w:sz w:val="24"/>
          <w:szCs w:val="24"/>
        </w:rPr>
        <w:t>）第九条的规定，“…(三)已通过招标方式选定的特许经营项目投资人依法能够自行建设、生产或者提供；…，可以不进行招标”。本项目拟通过一次招标的方式确定具备相应公路施工资质、能力及经验的社会资本方负责本项目投融资、建设、运营维护等，</w:t>
      </w:r>
      <w:r>
        <w:rPr>
          <w:rFonts w:hint="eastAsia" w:ascii="Times New Roman" w:hAnsi="Times New Roman"/>
          <w:sz w:val="24"/>
          <w:szCs w:val="24"/>
          <w:lang w:val="en-US"/>
        </w:rPr>
        <w:t>待项目公司成立以后，</w:t>
      </w:r>
      <w:r>
        <w:rPr>
          <w:rFonts w:hint="eastAsia" w:ascii="Times New Roman" w:hAnsi="Times New Roman"/>
          <w:sz w:val="24"/>
          <w:szCs w:val="24"/>
        </w:rPr>
        <w:t>由</w:t>
      </w:r>
      <w:r>
        <w:rPr>
          <w:rFonts w:hint="eastAsia" w:ascii="Times New Roman" w:hAnsi="Times New Roman"/>
          <w:sz w:val="24"/>
          <w:szCs w:val="24"/>
          <w:lang w:val="en-US"/>
        </w:rPr>
        <w:t>项目公司</w:t>
      </w:r>
      <w:r>
        <w:rPr>
          <w:rFonts w:hint="eastAsia" w:ascii="Times New Roman" w:hAnsi="Times New Roman"/>
          <w:sz w:val="24"/>
          <w:szCs w:val="24"/>
        </w:rPr>
        <w:t>和具备相应施工资质、能力及经验的社会资本直接签署施工承包合同，不再进行二次招标。</w:t>
      </w:r>
    </w:p>
    <w:p>
      <w:pPr>
        <w:widowControl w:val="0"/>
        <w:numPr>
          <w:ilvl w:val="0"/>
          <w:numId w:val="0"/>
        </w:numPr>
        <w:adjustRightInd w:val="0"/>
        <w:snapToGrid w:val="0"/>
        <w:spacing w:before="156" w:beforeLines="50" w:after="156" w:afterLines="50" w:line="360" w:lineRule="auto"/>
        <w:ind w:firstLine="420" w:firstLineChars="0"/>
        <w:jc w:val="both"/>
        <w:rPr>
          <w:rFonts w:ascii="Times New Roman" w:hAnsi="Times New Roman"/>
          <w:b/>
          <w:sz w:val="28"/>
        </w:rPr>
      </w:pPr>
      <w:r>
        <w:rPr>
          <w:rFonts w:ascii="Times New Roman" w:hAnsi="Times New Roman" w:eastAsia="宋体"/>
          <w:b/>
          <w:sz w:val="28"/>
        </w:rPr>
        <w:t>②</w:t>
      </w:r>
      <w:r>
        <w:rPr>
          <w:rFonts w:ascii="Times New Roman" w:hAnsi="Times New Roman"/>
          <w:b/>
          <w:sz w:val="28"/>
        </w:rPr>
        <w:t xml:space="preserve"> 关于监理方的确定</w:t>
      </w:r>
    </w:p>
    <w:p>
      <w:pPr>
        <w:ind w:firstLine="482" w:firstLineChars="0"/>
        <w:rPr>
          <w:rFonts w:hint="eastAsia" w:ascii="Times New Roman" w:hAnsi="Times New Roman"/>
          <w:sz w:val="24"/>
          <w:szCs w:val="24"/>
        </w:rPr>
      </w:pPr>
      <w:r>
        <w:rPr>
          <w:rFonts w:hint="eastAsia" w:ascii="Times New Roman" w:hAnsi="Times New Roman"/>
          <w:sz w:val="24"/>
          <w:szCs w:val="24"/>
        </w:rPr>
        <w:t>建议施工监理的招标与PPP招标同步进行，由登封市交通运输局负责</w:t>
      </w:r>
      <w:r>
        <w:rPr>
          <w:rFonts w:hint="eastAsia" w:ascii="Times New Roman" w:hAnsi="Times New Roman"/>
          <w:sz w:val="24"/>
          <w:szCs w:val="24"/>
          <w:lang w:val="en-US"/>
        </w:rPr>
        <w:t>通过</w:t>
      </w:r>
      <w:r>
        <w:rPr>
          <w:rFonts w:hint="eastAsia" w:ascii="Times New Roman" w:hAnsi="Times New Roman"/>
          <w:sz w:val="24"/>
          <w:szCs w:val="24"/>
        </w:rPr>
        <w:t>招标</w:t>
      </w:r>
      <w:r>
        <w:rPr>
          <w:rFonts w:hint="eastAsia" w:ascii="Times New Roman" w:hAnsi="Times New Roman"/>
          <w:sz w:val="24"/>
          <w:szCs w:val="24"/>
          <w:lang w:val="en-US"/>
        </w:rPr>
        <w:t>方式</w:t>
      </w:r>
      <w:r>
        <w:rPr>
          <w:rFonts w:hint="eastAsia" w:ascii="Times New Roman" w:hAnsi="Times New Roman"/>
          <w:sz w:val="24"/>
          <w:szCs w:val="24"/>
        </w:rPr>
        <w:t>确定监理单位，并与监理单位签订监理服务合同，负责项目质量、安全、进度等方面的管理。项目公司将监理费用支付给登封市交通运输局，再由登封市交通运输局按照监理合同约定支付给监理单位。</w:t>
      </w:r>
    </w:p>
    <w:p>
      <w:pPr>
        <w:widowControl w:val="0"/>
        <w:numPr>
          <w:ilvl w:val="0"/>
          <w:numId w:val="0"/>
        </w:numPr>
        <w:adjustRightInd w:val="0"/>
        <w:snapToGrid w:val="0"/>
        <w:spacing w:before="156" w:beforeLines="50" w:after="156" w:afterLines="50" w:line="360" w:lineRule="auto"/>
        <w:ind w:firstLine="420" w:firstLineChars="0"/>
        <w:jc w:val="both"/>
        <w:rPr>
          <w:rFonts w:ascii="Times New Roman" w:hAnsi="Times New Roman"/>
          <w:b/>
          <w:sz w:val="28"/>
        </w:rPr>
      </w:pPr>
      <w:r>
        <w:rPr>
          <w:rFonts w:ascii="Times New Roman" w:hAnsi="Times New Roman" w:eastAsia="宋体"/>
          <w:b/>
          <w:sz w:val="28"/>
        </w:rPr>
        <w:t>③</w:t>
      </w:r>
      <w:r>
        <w:rPr>
          <w:rFonts w:ascii="Times New Roman" w:hAnsi="Times New Roman"/>
          <w:b/>
          <w:sz w:val="28"/>
        </w:rPr>
        <w:t xml:space="preserve"> 关于设计单位的确定</w:t>
      </w:r>
    </w:p>
    <w:p>
      <w:pPr>
        <w:ind w:firstLine="482" w:firstLineChars="0"/>
        <w:rPr>
          <w:rFonts w:hint="eastAsia" w:ascii="Times New Roman" w:hAnsi="Times New Roman"/>
          <w:sz w:val="24"/>
          <w:szCs w:val="24"/>
        </w:rPr>
      </w:pPr>
      <w:r>
        <w:rPr>
          <w:rFonts w:hint="eastAsia" w:ascii="Times New Roman" w:hAnsi="Times New Roman"/>
          <w:sz w:val="24"/>
          <w:szCs w:val="24"/>
        </w:rPr>
        <w:t>待项目工可批复后，拟由登封市交通运输局负责</w:t>
      </w:r>
      <w:r>
        <w:rPr>
          <w:rFonts w:hint="eastAsia" w:ascii="Times New Roman" w:hAnsi="Times New Roman"/>
          <w:sz w:val="24"/>
          <w:szCs w:val="24"/>
          <w:lang w:val="en-US"/>
        </w:rPr>
        <w:t>通过</w:t>
      </w:r>
      <w:r>
        <w:rPr>
          <w:rFonts w:hint="eastAsia" w:ascii="Times New Roman" w:hAnsi="Times New Roman"/>
          <w:sz w:val="24"/>
          <w:szCs w:val="24"/>
        </w:rPr>
        <w:t>招标</w:t>
      </w:r>
      <w:r>
        <w:rPr>
          <w:rFonts w:hint="eastAsia" w:ascii="Times New Roman" w:hAnsi="Times New Roman"/>
          <w:sz w:val="24"/>
          <w:szCs w:val="24"/>
          <w:lang w:val="en-US"/>
        </w:rPr>
        <w:t>招标</w:t>
      </w:r>
      <w:r>
        <w:rPr>
          <w:rFonts w:hint="eastAsia" w:ascii="Times New Roman" w:hAnsi="Times New Roman"/>
          <w:sz w:val="24"/>
          <w:szCs w:val="24"/>
        </w:rPr>
        <w:t>确定项目设计单位，并与设计单位签订设计委托服务合同。项目公司成立后，登封交通局与项目公司签订委托管理合同或签订三方合同，负责设计单位的具体管理，以便于后期设计优化、竣（交）工验收等有关设计方面的管理。</w:t>
      </w:r>
      <w:bookmarkStart w:id="88" w:name="_Toc504637095"/>
    </w:p>
    <w:p>
      <w:pPr>
        <w:widowControl w:val="0"/>
        <w:numPr>
          <w:ilvl w:val="0"/>
          <w:numId w:val="0"/>
        </w:numPr>
        <w:adjustRightInd w:val="0"/>
        <w:snapToGrid w:val="0"/>
        <w:spacing w:before="156" w:beforeLines="50" w:after="156" w:afterLines="50" w:line="360" w:lineRule="auto"/>
        <w:ind w:firstLine="420" w:firstLineChars="0"/>
        <w:jc w:val="both"/>
        <w:rPr>
          <w:rFonts w:ascii="Times New Roman"/>
        </w:rPr>
      </w:pPr>
      <w:r>
        <w:rPr>
          <w:rFonts w:hint="eastAsia" w:ascii="Times New Roman"/>
          <w:lang w:val="en-US" w:eastAsia="zh-CN"/>
        </w:rPr>
        <w:t>5</w:t>
      </w:r>
      <w:r>
        <w:rPr>
          <w:rFonts w:ascii="Times New Roman"/>
        </w:rPr>
        <w:t>.</w:t>
      </w:r>
      <w:r>
        <w:rPr>
          <w:rFonts w:hint="eastAsia" w:ascii="Times New Roman"/>
          <w:lang w:val="en-US" w:eastAsia="zh-CN"/>
        </w:rPr>
        <w:t>3</w:t>
      </w:r>
      <w:r>
        <w:rPr>
          <w:rFonts w:ascii="Times New Roman"/>
        </w:rPr>
        <w:t>.3履约保障边界</w:t>
      </w:r>
      <w:bookmarkEnd w:id="88"/>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履约保函体系主要包括投投标保证金、投资人履约保函、建设履约保函、运营维护保函及移交保函。项目保函根据本项目的实际情况，按照相关约定执行。</w:t>
      </w:r>
    </w:p>
    <w:p>
      <w:pPr>
        <w:ind w:firstLine="482" w:firstLineChars="0"/>
        <w:rPr>
          <w:rFonts w:ascii="Times New Roman" w:hAnsi="Times New Roman"/>
          <w:sz w:val="21"/>
          <w:szCs w:val="21"/>
          <w:lang w:val="en-US"/>
        </w:rPr>
      </w:pPr>
      <w:r>
        <w:rPr>
          <w:rFonts w:hint="eastAsia" w:ascii="Times New Roman" w:hAnsi="Times New Roman"/>
          <w:sz w:val="24"/>
          <w:szCs w:val="24"/>
          <w:lang w:val="en-US"/>
        </w:rPr>
        <w:t>在发生相应情形时，项目实施机构有权视情况兑取相应保函。</w:t>
      </w:r>
    </w:p>
    <w:p>
      <w:pPr>
        <w:spacing w:line="240" w:lineRule="auto"/>
        <w:ind w:firstLine="0" w:firstLineChars="0"/>
        <w:jc w:val="center"/>
        <w:rPr>
          <w:rFonts w:ascii="Times New Roman" w:hAnsi="Times New Roman"/>
          <w:b/>
          <w:lang w:val="en-US"/>
        </w:rPr>
      </w:pPr>
      <w:r>
        <w:rPr>
          <w:rFonts w:ascii="Times New Roman" w:hAnsi="Times New Roman"/>
          <w:b/>
          <w:lang w:val="en-US"/>
        </w:rPr>
        <w:t>表</w:t>
      </w:r>
      <w:r>
        <w:rPr>
          <w:rFonts w:hint="eastAsia" w:ascii="Times New Roman" w:hAnsi="Times New Roman"/>
          <w:b/>
          <w:lang w:val="en-US" w:eastAsia="zh-CN"/>
        </w:rPr>
        <w:t>5</w:t>
      </w:r>
      <w:r>
        <w:rPr>
          <w:rFonts w:ascii="Times New Roman" w:hAnsi="Times New Roman"/>
          <w:b/>
          <w:lang w:val="en-US"/>
        </w:rPr>
        <w:t>-1  履约保函体系表</w:t>
      </w:r>
    </w:p>
    <w:tbl>
      <w:tblPr>
        <w:tblStyle w:val="44"/>
        <w:tblW w:w="8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379"/>
        <w:gridCol w:w="1551"/>
        <w:gridCol w:w="1551"/>
        <w:gridCol w:w="155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94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b/>
                <w:sz w:val="24"/>
                <w:szCs w:val="24"/>
                <w:lang w:val="en-US"/>
              </w:rPr>
            </w:pPr>
            <w:r>
              <w:rPr>
                <w:rFonts w:hint="default" w:ascii="Times New Roman" w:hAnsi="Times New Roman"/>
                <w:b/>
                <w:sz w:val="24"/>
                <w:szCs w:val="24"/>
                <w:lang w:val="en-US"/>
              </w:rPr>
              <w:t>条款</w:t>
            </w:r>
          </w:p>
        </w:tc>
        <w:tc>
          <w:tcPr>
            <w:tcW w:w="137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b/>
                <w:sz w:val="24"/>
                <w:szCs w:val="24"/>
                <w:lang w:val="en-US"/>
              </w:rPr>
            </w:pPr>
            <w:r>
              <w:rPr>
                <w:rFonts w:hint="default" w:ascii="Times New Roman" w:hAnsi="Times New Roman"/>
                <w:b/>
                <w:sz w:val="24"/>
                <w:szCs w:val="24"/>
                <w:lang w:val="en-US"/>
              </w:rPr>
              <w:t>投标保证金</w:t>
            </w:r>
          </w:p>
        </w:tc>
        <w:tc>
          <w:tcPr>
            <w:tcW w:w="1551"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b/>
                <w:sz w:val="24"/>
                <w:szCs w:val="24"/>
                <w:lang w:val="en-US"/>
              </w:rPr>
            </w:pPr>
            <w:r>
              <w:rPr>
                <w:rFonts w:hint="default" w:ascii="Times New Roman" w:hAnsi="Times New Roman"/>
                <w:b/>
                <w:sz w:val="24"/>
                <w:szCs w:val="24"/>
                <w:lang w:val="en-US"/>
              </w:rPr>
              <w:t>投资人履约保函</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b/>
                <w:sz w:val="24"/>
                <w:szCs w:val="24"/>
                <w:lang w:val="en-US"/>
              </w:rPr>
            </w:pPr>
            <w:r>
              <w:rPr>
                <w:rFonts w:hint="default" w:ascii="Times New Roman" w:hAnsi="Times New Roman"/>
                <w:b/>
                <w:sz w:val="24"/>
                <w:szCs w:val="24"/>
                <w:lang w:val="en-US"/>
              </w:rPr>
              <w:t>建设期履约保函</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b/>
                <w:sz w:val="24"/>
                <w:szCs w:val="24"/>
                <w:lang w:val="en-US"/>
              </w:rPr>
            </w:pPr>
            <w:r>
              <w:rPr>
                <w:rFonts w:hint="default" w:ascii="Times New Roman" w:hAnsi="Times New Roman"/>
                <w:b/>
                <w:sz w:val="24"/>
                <w:szCs w:val="24"/>
                <w:lang w:val="en-US"/>
              </w:rPr>
              <w:t>运营维护保函</w:t>
            </w:r>
          </w:p>
        </w:tc>
        <w:tc>
          <w:tcPr>
            <w:tcW w:w="1705"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b/>
                <w:sz w:val="24"/>
                <w:szCs w:val="24"/>
                <w:lang w:val="en-US"/>
              </w:rPr>
            </w:pPr>
            <w:r>
              <w:rPr>
                <w:rFonts w:hint="default" w:ascii="Times New Roman" w:hAnsi="Times New Roman"/>
                <w:b/>
                <w:sz w:val="24"/>
                <w:szCs w:val="24"/>
                <w:lang w:val="en-US"/>
              </w:rPr>
              <w:t>移交保函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提交主体</w:t>
            </w:r>
          </w:p>
        </w:tc>
        <w:tc>
          <w:tcPr>
            <w:tcW w:w="137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社会资本</w:t>
            </w:r>
          </w:p>
        </w:tc>
        <w:tc>
          <w:tcPr>
            <w:tcW w:w="1551"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社会资本</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项目公司</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项目公司</w:t>
            </w:r>
          </w:p>
        </w:tc>
        <w:tc>
          <w:tcPr>
            <w:tcW w:w="1705"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项目公司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提交时间</w:t>
            </w:r>
          </w:p>
        </w:tc>
        <w:tc>
          <w:tcPr>
            <w:tcW w:w="137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提交投标文件之前</w:t>
            </w:r>
          </w:p>
        </w:tc>
        <w:tc>
          <w:tcPr>
            <w:tcW w:w="1551"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签署投资协议前</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签署PPP项目合同前</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项目进入运营维护期的同时</w:t>
            </w:r>
          </w:p>
        </w:tc>
        <w:tc>
          <w:tcPr>
            <w:tcW w:w="1705"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运营维护期最后一年开始前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退还时间</w:t>
            </w:r>
          </w:p>
        </w:tc>
        <w:tc>
          <w:tcPr>
            <w:tcW w:w="137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eastAsia" w:ascii="Times New Roman" w:hAnsi="Times New Roman"/>
                <w:sz w:val="24"/>
                <w:szCs w:val="24"/>
                <w:lang w:val="en-US"/>
              </w:rPr>
              <w:t>投资协议签署后5个工作日内</w:t>
            </w:r>
          </w:p>
        </w:tc>
        <w:tc>
          <w:tcPr>
            <w:tcW w:w="1551"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全部工程交工验收合格后</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全部工程竣工验收合格且项目公司提交运营维护保函后</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项目公司提交移交保函后</w:t>
            </w:r>
          </w:p>
        </w:tc>
        <w:tc>
          <w:tcPr>
            <w:tcW w:w="1705"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移交完毕且缺陷责任期满后（缺陷责任期为移交日后一年）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受益人</w:t>
            </w:r>
          </w:p>
        </w:tc>
        <w:tc>
          <w:tcPr>
            <w:tcW w:w="137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实施机构</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实施机构</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实施机构</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实施机构</w:t>
            </w:r>
          </w:p>
        </w:tc>
        <w:tc>
          <w:tcPr>
            <w:tcW w:w="1705"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保函金额</w:t>
            </w:r>
          </w:p>
        </w:tc>
        <w:tc>
          <w:tcPr>
            <w:tcW w:w="137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250</w:t>
            </w:r>
            <w:r>
              <w:rPr>
                <w:rFonts w:hint="eastAsia" w:ascii="Times New Roman" w:hAnsi="Times New Roman"/>
                <w:sz w:val="24"/>
                <w:szCs w:val="24"/>
                <w:lang w:val="en-US"/>
              </w:rPr>
              <w:t>万</w:t>
            </w:r>
            <w:r>
              <w:rPr>
                <w:rFonts w:hint="default" w:ascii="Times New Roman" w:hAnsi="Times New Roman"/>
                <w:sz w:val="24"/>
                <w:szCs w:val="24"/>
                <w:lang w:val="en-US"/>
              </w:rPr>
              <w:t>元（</w:t>
            </w:r>
            <w:r>
              <w:rPr>
                <w:rFonts w:hint="eastAsia" w:ascii="Times New Roman" w:hAnsi="Times New Roman"/>
                <w:sz w:val="24"/>
                <w:szCs w:val="24"/>
                <w:lang w:val="en-US"/>
              </w:rPr>
              <w:t>按</w:t>
            </w:r>
            <w:r>
              <w:rPr>
                <w:rFonts w:hint="default" w:ascii="Times New Roman" w:hAnsi="Times New Roman"/>
                <w:sz w:val="24"/>
                <w:szCs w:val="24"/>
                <w:lang w:val="en-US"/>
              </w:rPr>
              <w:t>总投资</w:t>
            </w:r>
            <w:r>
              <w:rPr>
                <w:rFonts w:hint="eastAsia" w:ascii="Times New Roman" w:hAnsi="Times New Roman"/>
                <w:sz w:val="24"/>
                <w:szCs w:val="24"/>
                <w:lang w:val="en-US"/>
              </w:rPr>
              <w:t>的0.3</w:t>
            </w:r>
            <w:r>
              <w:rPr>
                <w:rFonts w:hint="default" w:ascii="Times New Roman" w:hAnsi="Times New Roman"/>
                <w:sz w:val="24"/>
                <w:szCs w:val="24"/>
                <w:lang w:val="en-US"/>
              </w:rPr>
              <w:t>%计算）</w:t>
            </w:r>
          </w:p>
        </w:tc>
        <w:tc>
          <w:tcPr>
            <w:tcW w:w="1551"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830</w:t>
            </w:r>
            <w:r>
              <w:rPr>
                <w:rFonts w:hint="eastAsia" w:ascii="Times New Roman" w:hAnsi="Times New Roman"/>
                <w:sz w:val="24"/>
                <w:szCs w:val="24"/>
                <w:lang w:val="en-US"/>
              </w:rPr>
              <w:t>万元</w:t>
            </w:r>
            <w:r>
              <w:rPr>
                <w:rFonts w:hint="default" w:ascii="Times New Roman" w:hAnsi="Times New Roman"/>
                <w:sz w:val="24"/>
                <w:szCs w:val="24"/>
                <w:lang w:val="en-US"/>
              </w:rPr>
              <w:t>（</w:t>
            </w:r>
            <w:r>
              <w:rPr>
                <w:rFonts w:hint="eastAsia" w:ascii="Times New Roman" w:hAnsi="Times New Roman"/>
                <w:sz w:val="24"/>
                <w:szCs w:val="24"/>
                <w:lang w:val="en-US"/>
              </w:rPr>
              <w:t>按项目资本金</w:t>
            </w:r>
            <w:r>
              <w:rPr>
                <w:rFonts w:hint="default" w:ascii="Times New Roman" w:hAnsi="Times New Roman"/>
                <w:sz w:val="24"/>
                <w:szCs w:val="24"/>
                <w:lang w:val="en-US"/>
              </w:rPr>
              <w:t>的</w:t>
            </w:r>
            <w:r>
              <w:rPr>
                <w:rFonts w:hint="eastAsia" w:ascii="Times New Roman" w:hAnsi="Times New Roman"/>
                <w:sz w:val="24"/>
                <w:szCs w:val="24"/>
                <w:lang w:val="en-US"/>
              </w:rPr>
              <w:t>5</w:t>
            </w:r>
            <w:r>
              <w:rPr>
                <w:rFonts w:hint="default" w:ascii="Times New Roman" w:hAnsi="Times New Roman"/>
                <w:sz w:val="24"/>
                <w:szCs w:val="24"/>
                <w:lang w:val="en-US"/>
              </w:rPr>
              <w:t>%计算）</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2500</w:t>
            </w:r>
            <w:r>
              <w:rPr>
                <w:rFonts w:hint="eastAsia" w:ascii="Times New Roman" w:hAnsi="Times New Roman"/>
                <w:sz w:val="24"/>
                <w:szCs w:val="24"/>
                <w:lang w:val="en-US"/>
              </w:rPr>
              <w:t>万元</w:t>
            </w:r>
            <w:r>
              <w:rPr>
                <w:rFonts w:hint="default" w:ascii="Times New Roman" w:hAnsi="Times New Roman"/>
                <w:sz w:val="24"/>
                <w:szCs w:val="24"/>
                <w:lang w:val="en-US"/>
              </w:rPr>
              <w:t>（</w:t>
            </w:r>
            <w:r>
              <w:rPr>
                <w:rFonts w:hint="eastAsia" w:ascii="Times New Roman" w:hAnsi="Times New Roman"/>
                <w:sz w:val="24"/>
                <w:szCs w:val="24"/>
                <w:lang w:val="en-US"/>
              </w:rPr>
              <w:t>按</w:t>
            </w:r>
            <w:r>
              <w:rPr>
                <w:rFonts w:hint="default" w:ascii="Times New Roman" w:hAnsi="Times New Roman"/>
                <w:sz w:val="24"/>
                <w:szCs w:val="24"/>
                <w:lang w:val="en-US"/>
              </w:rPr>
              <w:t>总投资的</w:t>
            </w:r>
            <w:r>
              <w:rPr>
                <w:rFonts w:hint="eastAsia" w:ascii="Times New Roman" w:hAnsi="Times New Roman"/>
                <w:sz w:val="24"/>
                <w:szCs w:val="24"/>
                <w:lang w:val="en-US"/>
              </w:rPr>
              <w:t>3</w:t>
            </w:r>
            <w:r>
              <w:rPr>
                <w:rFonts w:hint="default" w:ascii="Times New Roman" w:hAnsi="Times New Roman"/>
                <w:sz w:val="24"/>
                <w:szCs w:val="24"/>
                <w:lang w:val="en-US"/>
              </w:rPr>
              <w:t>%计算）</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500</w:t>
            </w:r>
            <w:r>
              <w:rPr>
                <w:rFonts w:hint="eastAsia" w:ascii="Times New Roman" w:hAnsi="Times New Roman"/>
                <w:sz w:val="24"/>
                <w:szCs w:val="24"/>
                <w:lang w:val="en-US"/>
              </w:rPr>
              <w:t>万元</w:t>
            </w:r>
            <w:r>
              <w:rPr>
                <w:rFonts w:hint="default" w:ascii="Times New Roman" w:hAnsi="Times New Roman"/>
                <w:sz w:val="24"/>
                <w:szCs w:val="24"/>
                <w:lang w:val="en-US"/>
              </w:rPr>
              <w:t>（</w:t>
            </w:r>
            <w:r>
              <w:rPr>
                <w:rFonts w:hint="eastAsia" w:ascii="Times New Roman" w:hAnsi="Times New Roman"/>
                <w:sz w:val="24"/>
                <w:szCs w:val="24"/>
                <w:lang w:val="en-US"/>
              </w:rPr>
              <w:t>按</w:t>
            </w:r>
            <w:r>
              <w:rPr>
                <w:rFonts w:hint="default" w:ascii="Times New Roman" w:hAnsi="Times New Roman"/>
                <w:sz w:val="24"/>
                <w:szCs w:val="24"/>
                <w:lang w:val="en-US"/>
              </w:rPr>
              <w:t>日常养护管理费用计算）</w:t>
            </w:r>
          </w:p>
        </w:tc>
        <w:tc>
          <w:tcPr>
            <w:tcW w:w="1705"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999</w:t>
            </w:r>
            <w:r>
              <w:rPr>
                <w:rFonts w:hint="eastAsia" w:ascii="Times New Roman" w:hAnsi="Times New Roman"/>
                <w:sz w:val="24"/>
                <w:szCs w:val="24"/>
                <w:lang w:val="en-US" w:eastAsia="zh-CN"/>
              </w:rPr>
              <w:t>0</w:t>
            </w:r>
            <w:r>
              <w:rPr>
                <w:rFonts w:hint="eastAsia" w:ascii="Times New Roman" w:hAnsi="Times New Roman"/>
                <w:sz w:val="24"/>
                <w:szCs w:val="24"/>
                <w:lang w:val="en-US"/>
              </w:rPr>
              <w:t>万元</w:t>
            </w:r>
            <w:r>
              <w:rPr>
                <w:rFonts w:hint="default" w:ascii="Times New Roman" w:hAnsi="Times New Roman"/>
                <w:sz w:val="24"/>
                <w:szCs w:val="24"/>
                <w:lang w:val="en-US"/>
              </w:rPr>
              <w:t>（</w:t>
            </w:r>
            <w:r>
              <w:rPr>
                <w:rFonts w:hint="eastAsia" w:ascii="Times New Roman" w:hAnsi="Times New Roman"/>
                <w:sz w:val="24"/>
                <w:szCs w:val="24"/>
                <w:lang w:val="en-US"/>
              </w:rPr>
              <w:t>按</w:t>
            </w:r>
            <w:r>
              <w:rPr>
                <w:rFonts w:hint="default" w:ascii="Times New Roman" w:hAnsi="Times New Roman"/>
                <w:sz w:val="24"/>
                <w:szCs w:val="24"/>
                <w:lang w:val="en-US"/>
              </w:rPr>
              <w:t>一次大修费用计算）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担保事项</w:t>
            </w:r>
          </w:p>
        </w:tc>
        <w:tc>
          <w:tcPr>
            <w:tcW w:w="1379"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投标文件承诺的履行、协议签署、项目公司设立及投资人履约保函提交等。</w:t>
            </w:r>
          </w:p>
        </w:tc>
        <w:tc>
          <w:tcPr>
            <w:tcW w:w="1551"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投资额按时</w:t>
            </w:r>
            <w:r>
              <w:rPr>
                <w:rFonts w:hint="eastAsia" w:ascii="Times New Roman" w:hAnsi="Times New Roman"/>
                <w:sz w:val="24"/>
                <w:szCs w:val="24"/>
                <w:lang w:val="en-US"/>
              </w:rPr>
              <w:t>足额</w:t>
            </w:r>
            <w:r>
              <w:rPr>
                <w:rFonts w:hint="default" w:ascii="Times New Roman" w:hAnsi="Times New Roman"/>
                <w:sz w:val="24"/>
                <w:szCs w:val="24"/>
                <w:lang w:val="en-US"/>
              </w:rPr>
              <w:t>到位</w:t>
            </w:r>
            <w:r>
              <w:rPr>
                <w:rFonts w:hint="eastAsia" w:ascii="Times New Roman" w:hAnsi="Times New Roman"/>
                <w:sz w:val="24"/>
                <w:szCs w:val="24"/>
                <w:lang w:val="en-US"/>
              </w:rPr>
              <w:t>。</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项目建设资金到位、开工节点和竣</w:t>
            </w:r>
            <w:r>
              <w:rPr>
                <w:rFonts w:hint="eastAsia" w:ascii="Times New Roman" w:hAnsi="Times New Roman"/>
                <w:sz w:val="24"/>
                <w:szCs w:val="24"/>
                <w:lang w:val="en-US"/>
              </w:rPr>
              <w:t>（交）</w:t>
            </w:r>
            <w:r>
              <w:rPr>
                <w:rFonts w:hint="default" w:ascii="Times New Roman" w:hAnsi="Times New Roman"/>
                <w:sz w:val="24"/>
                <w:szCs w:val="24"/>
                <w:lang w:val="en-US"/>
              </w:rPr>
              <w:t>工验收节点正常、工程质量事故或安全责任事故、运营维护保函提交等。</w:t>
            </w:r>
          </w:p>
        </w:tc>
        <w:tc>
          <w:tcPr>
            <w:tcW w:w="1551"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项目运维绩效标准达标情况、安全保障、移交保函提交等。</w:t>
            </w:r>
          </w:p>
        </w:tc>
        <w:tc>
          <w:tcPr>
            <w:tcW w:w="1705" w:type="dxa"/>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Times New Roman" w:hAnsi="Times New Roman"/>
                <w:sz w:val="24"/>
                <w:szCs w:val="24"/>
                <w:lang w:val="en-US"/>
              </w:rPr>
            </w:pPr>
            <w:r>
              <w:rPr>
                <w:rFonts w:hint="default" w:ascii="Times New Roman" w:hAnsi="Times New Roman"/>
                <w:sz w:val="24"/>
                <w:szCs w:val="24"/>
                <w:lang w:val="en-US"/>
              </w:rPr>
              <w:t>项目设施恢复性大中修、项目设施存在隐蔽性缺陷等。</w:t>
            </w:r>
          </w:p>
        </w:tc>
      </w:tr>
    </w:tbl>
    <w:p>
      <w:pPr>
        <w:pStyle w:val="9"/>
        <w:numPr>
          <w:ilvl w:val="2"/>
          <w:numId w:val="0"/>
        </w:numPr>
        <w:ind w:left="720" w:leftChars="0"/>
        <w:jc w:val="both"/>
        <w:rPr>
          <w:rFonts w:ascii="Times New Roman"/>
        </w:rPr>
      </w:pPr>
      <w:bookmarkStart w:id="89" w:name="_Toc504637096"/>
      <w:r>
        <w:rPr>
          <w:rFonts w:hint="eastAsia" w:ascii="Times New Roman"/>
          <w:lang w:val="en-US" w:eastAsia="zh-CN"/>
        </w:rPr>
        <w:t>5</w:t>
      </w:r>
      <w:r>
        <w:rPr>
          <w:rFonts w:ascii="Times New Roman"/>
        </w:rPr>
        <w:t>.</w:t>
      </w:r>
      <w:r>
        <w:rPr>
          <w:rFonts w:hint="eastAsia" w:ascii="Times New Roman"/>
          <w:lang w:val="en-US" w:eastAsia="zh-CN"/>
        </w:rPr>
        <w:t>3</w:t>
      </w:r>
      <w:r>
        <w:rPr>
          <w:rFonts w:ascii="Times New Roman"/>
        </w:rPr>
        <w:t>.4调整衔接边界</w:t>
      </w:r>
      <w:bookmarkEnd w:id="89"/>
    </w:p>
    <w:p>
      <w:pPr>
        <w:ind w:firstLine="562"/>
        <w:rPr>
          <w:rFonts w:ascii="Times New Roman" w:hAnsi="Times New Roman"/>
          <w:b/>
          <w:sz w:val="28"/>
          <w:lang w:val="en-US"/>
        </w:rPr>
      </w:pPr>
      <w:r>
        <w:rPr>
          <w:rFonts w:ascii="Times New Roman" w:hAnsi="Times New Roman"/>
          <w:b/>
          <w:sz w:val="28"/>
          <w:lang w:val="en-US"/>
        </w:rPr>
        <w:t>（1）应急预案</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项目公司应针对自然灾害、重特大事故、环境公害及人为破坏等事件的发生等各类可能发生的事故和所有危险源制订应急预案和现场处置方案，明确事前、事中、事后各个过程中相关部门和有关人员的职责。项目公司制定的应急预案应征求实施机构的意见并经实施机构同意后实施。</w:t>
      </w:r>
    </w:p>
    <w:p>
      <w:pPr>
        <w:ind w:firstLine="562"/>
        <w:rPr>
          <w:rFonts w:ascii="Times New Roman" w:hAnsi="Times New Roman"/>
          <w:b/>
          <w:sz w:val="28"/>
          <w:lang w:val="en-US"/>
        </w:rPr>
      </w:pPr>
      <w:r>
        <w:rPr>
          <w:rFonts w:ascii="Times New Roman" w:hAnsi="Times New Roman"/>
          <w:b/>
          <w:sz w:val="28"/>
          <w:lang w:val="en-US"/>
        </w:rPr>
        <w:t>（2）临时接管</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合作期内，如项目公司出现以下违约行为，项目实施机构或政府指定的其他机构有权实施临时接管或采取相应强制措施：</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1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①</w:t>
      </w:r>
      <w:r>
        <w:rPr>
          <w:rFonts w:hint="eastAsia" w:ascii="Times New Roman" w:hAnsi="Times New Roman"/>
          <w:sz w:val="24"/>
          <w:szCs w:val="24"/>
          <w:lang w:val="en-US"/>
        </w:rPr>
        <w:fldChar w:fldCharType="end"/>
      </w:r>
      <w:r>
        <w:rPr>
          <w:rFonts w:hint="eastAsia" w:ascii="Times New Roman" w:hAnsi="Times New Roman"/>
          <w:sz w:val="24"/>
          <w:szCs w:val="24"/>
          <w:lang w:val="en-US"/>
        </w:rPr>
        <w:t>擅自转让、出租经营权的；</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2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②</w:t>
      </w:r>
      <w:r>
        <w:rPr>
          <w:rFonts w:hint="eastAsia" w:ascii="Times New Roman" w:hAnsi="Times New Roman"/>
          <w:sz w:val="24"/>
          <w:szCs w:val="24"/>
          <w:lang w:val="en-US"/>
        </w:rPr>
        <w:fldChar w:fldCharType="end"/>
      </w:r>
      <w:r>
        <w:rPr>
          <w:rFonts w:hint="eastAsia" w:ascii="Times New Roman" w:hAnsi="Times New Roman"/>
          <w:sz w:val="24"/>
          <w:szCs w:val="24"/>
          <w:lang w:val="en-US"/>
        </w:rPr>
        <w:t>擅自将所经营的财产进行处置或者抵押的；</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3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③</w:t>
      </w:r>
      <w:r>
        <w:rPr>
          <w:rFonts w:hint="eastAsia" w:ascii="Times New Roman" w:hAnsi="Times New Roman"/>
          <w:sz w:val="24"/>
          <w:szCs w:val="24"/>
          <w:lang w:val="en-US"/>
        </w:rPr>
        <w:fldChar w:fldCharType="end"/>
      </w:r>
      <w:r>
        <w:rPr>
          <w:rFonts w:hint="eastAsia" w:ascii="Times New Roman" w:hAnsi="Times New Roman"/>
          <w:sz w:val="24"/>
          <w:szCs w:val="24"/>
          <w:lang w:val="en-US"/>
        </w:rPr>
        <w:t>因管理不善，发生重大质量、生产安全事故的；</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4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④</w:t>
      </w:r>
      <w:r>
        <w:rPr>
          <w:rFonts w:hint="eastAsia" w:ascii="Times New Roman" w:hAnsi="Times New Roman"/>
          <w:sz w:val="24"/>
          <w:szCs w:val="24"/>
          <w:lang w:val="en-US"/>
        </w:rPr>
        <w:fldChar w:fldCharType="end"/>
      </w:r>
      <w:r>
        <w:rPr>
          <w:rFonts w:hint="eastAsia" w:ascii="Times New Roman" w:hAnsi="Times New Roman"/>
          <w:sz w:val="24"/>
          <w:szCs w:val="24"/>
          <w:lang w:val="en-US"/>
        </w:rPr>
        <w:t>擅自停工或停止运营维护，严重影响到社会公共利益和安全的；</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5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⑤</w:t>
      </w:r>
      <w:r>
        <w:rPr>
          <w:rFonts w:hint="eastAsia" w:ascii="Times New Roman" w:hAnsi="Times New Roman"/>
          <w:sz w:val="24"/>
          <w:szCs w:val="24"/>
          <w:lang w:val="en-US"/>
        </w:rPr>
        <w:fldChar w:fldCharType="end"/>
      </w:r>
      <w:r>
        <w:rPr>
          <w:rFonts w:hint="eastAsia" w:ascii="Times New Roman" w:hAnsi="Times New Roman"/>
          <w:sz w:val="24"/>
          <w:szCs w:val="24"/>
          <w:lang w:val="en-US"/>
        </w:rPr>
        <w:t>法律、法规禁止的其他行为。</w:t>
      </w:r>
    </w:p>
    <w:p>
      <w:pPr>
        <w:ind w:firstLine="482" w:firstLineChars="0"/>
        <w:rPr>
          <w:rFonts w:ascii="Times New Roman" w:hAnsi="Times New Roman"/>
          <w:sz w:val="21"/>
          <w:szCs w:val="21"/>
          <w:lang w:val="en-US"/>
        </w:rPr>
      </w:pPr>
      <w:r>
        <w:rPr>
          <w:rFonts w:hint="eastAsia" w:ascii="Times New Roman" w:hAnsi="Times New Roman"/>
          <w:sz w:val="24"/>
          <w:szCs w:val="24"/>
          <w:lang w:val="en-US"/>
        </w:rPr>
        <w:t>临时接管期间，项目公司须无条件服从政府方或其指定机构接收或接管本项目的所有指令、命令，项目公司应当在政府方接管前善意履行看守职责，并继续履行PPP项目合同项下的义务。</w:t>
      </w:r>
    </w:p>
    <w:p>
      <w:pPr>
        <w:ind w:firstLine="562"/>
        <w:rPr>
          <w:rFonts w:ascii="Times New Roman" w:hAnsi="Times New Roman"/>
          <w:b/>
          <w:sz w:val="28"/>
          <w:lang w:val="en-US"/>
        </w:rPr>
      </w:pPr>
      <w:r>
        <w:rPr>
          <w:rFonts w:ascii="Times New Roman" w:hAnsi="Times New Roman"/>
          <w:b/>
          <w:sz w:val="28"/>
          <w:lang w:val="en-US"/>
        </w:rPr>
        <w:t>（3）提前终止及补偿</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发生以下情况，PPP项目合同可提前终止：</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1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①</w:t>
      </w:r>
      <w:r>
        <w:rPr>
          <w:rFonts w:hint="eastAsia" w:ascii="Times New Roman" w:hAnsi="Times New Roman"/>
          <w:sz w:val="24"/>
          <w:szCs w:val="24"/>
          <w:lang w:val="en-US"/>
        </w:rPr>
        <w:fldChar w:fldCharType="end"/>
      </w:r>
      <w:r>
        <w:rPr>
          <w:rFonts w:hint="eastAsia" w:ascii="Times New Roman" w:hAnsi="Times New Roman"/>
          <w:sz w:val="24"/>
          <w:szCs w:val="24"/>
          <w:lang w:val="en-US"/>
        </w:rPr>
        <w:t>项目公司或社会资本发生严重违约事件时，政府方有权发出终止合同的通知；PPP项目合同被终止或解除后，实施机构有权全额提取项目公司或社会资本缴纳的任一或全部保函。同时，双方将共同委托具有相应资质的审计机构或评估机构根据项目公司的投资额、剩余的经营期限及项目现状进行评估，并在扣除本项目的各种优惠政策因素后得出项目评估价值，实施机构有权按照项目评估价值的80%向项目公司收回本项目，其余20%作为项目公司对实施机构的赔偿；</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2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②</w:t>
      </w:r>
      <w:r>
        <w:rPr>
          <w:rFonts w:hint="eastAsia" w:ascii="Times New Roman" w:hAnsi="Times New Roman"/>
          <w:sz w:val="24"/>
          <w:szCs w:val="24"/>
          <w:lang w:val="en-US"/>
        </w:rPr>
        <w:fldChar w:fldCharType="end"/>
      </w:r>
      <w:r>
        <w:rPr>
          <w:rFonts w:hint="eastAsia" w:ascii="Times New Roman" w:hAnsi="Times New Roman"/>
          <w:sz w:val="24"/>
          <w:szCs w:val="24"/>
          <w:lang w:val="en-US"/>
        </w:rPr>
        <w:t>政府方发生严重违约事件时，项目公司有权发出终止合同的通知；PPP项目合同被终止或解除后，实施机构将按照评估值无条件收购本项目，并根据约定的违约情形，实施机构对由此给项目公司或社会资本造成的实际损失进行适当补偿，补偿金额分五年等额支付，并按照折现率的中标价计算资金时间价值；</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3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③</w:t>
      </w:r>
      <w:r>
        <w:rPr>
          <w:rFonts w:hint="eastAsia" w:ascii="Times New Roman" w:hAnsi="Times New Roman"/>
          <w:sz w:val="24"/>
          <w:szCs w:val="24"/>
          <w:lang w:val="en-US"/>
        </w:rPr>
        <w:fldChar w:fldCharType="end"/>
      </w:r>
      <w:r>
        <w:rPr>
          <w:rFonts w:hint="eastAsia" w:ascii="Times New Roman" w:hAnsi="Times New Roman"/>
          <w:sz w:val="24"/>
          <w:szCs w:val="24"/>
          <w:lang w:val="en-US"/>
        </w:rPr>
        <w:t>发生不可抗力时，PPP项目合同签订各方无法协商一致继续履行各自义务，各方有权向对方发出终止合同的通知；</w:t>
      </w:r>
    </w:p>
    <w:p>
      <w:pPr>
        <w:ind w:firstLine="482" w:firstLineChars="0"/>
        <w:rPr>
          <w:rFonts w:ascii="Times New Roman" w:hAnsi="Times New Roman"/>
          <w:sz w:val="21"/>
          <w:szCs w:val="21"/>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4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④</w:t>
      </w:r>
      <w:r>
        <w:rPr>
          <w:rFonts w:hint="eastAsia" w:ascii="Times New Roman" w:hAnsi="Times New Roman"/>
          <w:sz w:val="24"/>
          <w:szCs w:val="24"/>
          <w:lang w:val="en-US"/>
        </w:rPr>
        <w:fldChar w:fldCharType="end"/>
      </w:r>
      <w:r>
        <w:rPr>
          <w:rFonts w:hint="eastAsia" w:ascii="Times New Roman" w:hAnsi="Times New Roman"/>
          <w:sz w:val="24"/>
          <w:szCs w:val="24"/>
          <w:lang w:val="en-US"/>
        </w:rPr>
        <w:t>PPP项目合同提前终止，政府方应区分终止情形，按照PPP项目合同的相关约定处理。</w:t>
      </w:r>
    </w:p>
    <w:p>
      <w:pPr>
        <w:ind w:firstLine="562"/>
        <w:rPr>
          <w:rFonts w:ascii="Times New Roman" w:hAnsi="Times New Roman"/>
          <w:b/>
          <w:sz w:val="28"/>
          <w:lang w:val="en-US"/>
        </w:rPr>
      </w:pPr>
      <w:r>
        <w:rPr>
          <w:rFonts w:ascii="Times New Roman" w:hAnsi="Times New Roman"/>
          <w:b/>
          <w:sz w:val="28"/>
          <w:lang w:val="en-US"/>
        </w:rPr>
        <w:t>（4）合同变更</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建议在以下情形下，可考虑对PPP项目合同进行修订：</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1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①</w:t>
      </w:r>
      <w:r>
        <w:rPr>
          <w:rFonts w:hint="eastAsia" w:ascii="Times New Roman" w:hAnsi="Times New Roman"/>
          <w:sz w:val="24"/>
          <w:szCs w:val="24"/>
          <w:lang w:val="en-US"/>
        </w:rPr>
        <w:fldChar w:fldCharType="end"/>
      </w:r>
      <w:r>
        <w:rPr>
          <w:rFonts w:hint="eastAsia" w:ascii="Times New Roman" w:hAnsi="Times New Roman"/>
          <w:sz w:val="24"/>
          <w:szCs w:val="24"/>
          <w:lang w:val="en-US"/>
        </w:rPr>
        <w:t>适用法律的变化，影响任一方主要权利义务的；</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2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②</w:t>
      </w:r>
      <w:r>
        <w:rPr>
          <w:rFonts w:hint="eastAsia" w:ascii="Times New Roman" w:hAnsi="Times New Roman"/>
          <w:sz w:val="24"/>
          <w:szCs w:val="24"/>
          <w:lang w:val="en-US"/>
        </w:rPr>
        <w:fldChar w:fldCharType="end"/>
      </w:r>
      <w:r>
        <w:rPr>
          <w:rFonts w:hint="eastAsia" w:ascii="Times New Roman" w:hAnsi="Times New Roman"/>
          <w:sz w:val="24"/>
          <w:szCs w:val="24"/>
          <w:lang w:val="en-US"/>
        </w:rPr>
        <w:t>国家、行业及地方相关标准发生较大变化的；</w:t>
      </w:r>
    </w:p>
    <w:p>
      <w:pPr>
        <w:rPr>
          <w:rFonts w:hint="eastAsia" w:ascii="Times New Roman" w:hAnsi="Times New Roman"/>
          <w:sz w:val="21"/>
          <w:szCs w:val="21"/>
          <w:lang w:val="en-US"/>
        </w:rPr>
      </w:pP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 3 \* GB3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③</w:t>
      </w:r>
      <w:r>
        <w:rPr>
          <w:rFonts w:hint="eastAsia" w:ascii="Times New Roman" w:hAnsi="Times New Roman"/>
          <w:sz w:val="24"/>
          <w:szCs w:val="24"/>
          <w:lang w:val="en-US"/>
        </w:rPr>
        <w:fldChar w:fldCharType="end"/>
      </w:r>
      <w:r>
        <w:rPr>
          <w:rFonts w:hint="eastAsia" w:ascii="Times New Roman" w:hAnsi="Times New Roman"/>
          <w:sz w:val="24"/>
          <w:szCs w:val="24"/>
          <w:lang w:val="en-US"/>
        </w:rPr>
        <w:t>因不可抗力或非因PPP项目合同任一方的原因，导致合同部分条款无法履行。</w:t>
      </w:r>
    </w:p>
    <w:p>
      <w:pPr>
        <w:ind w:firstLine="562"/>
        <w:rPr>
          <w:rFonts w:ascii="Times New Roman" w:hAnsi="Times New Roman"/>
          <w:b/>
          <w:sz w:val="28"/>
          <w:lang w:val="en-US"/>
        </w:rPr>
      </w:pPr>
      <w:r>
        <w:rPr>
          <w:rFonts w:ascii="Times New Roman" w:hAnsi="Times New Roman"/>
          <w:b/>
          <w:sz w:val="28"/>
          <w:lang w:val="en-US"/>
        </w:rPr>
        <w:t>（5）争议解决</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PPP项目合同执行过程中若出现争议，应尽力通过协商友好解决。协商不成的，应向项目公司住所地有管辖权的人民法院提起诉讼解决。</w:t>
      </w:r>
      <w:bookmarkStart w:id="90" w:name="_Toc504637097"/>
    </w:p>
    <w:p>
      <w:pPr>
        <w:rPr>
          <w:rFonts w:ascii="Times New Roman"/>
        </w:rPr>
      </w:pPr>
      <w:r>
        <w:rPr>
          <w:rFonts w:hint="eastAsia" w:ascii="Times New Roman"/>
          <w:lang w:val="en-US" w:eastAsia="zh-CN"/>
        </w:rPr>
        <w:t>5</w:t>
      </w:r>
      <w:r>
        <w:rPr>
          <w:rFonts w:hint="eastAsia" w:ascii="Times New Roman"/>
        </w:rPr>
        <w:t>.</w:t>
      </w:r>
      <w:r>
        <w:rPr>
          <w:rFonts w:hint="eastAsia" w:ascii="Times New Roman"/>
          <w:lang w:val="en-US" w:eastAsia="zh-CN"/>
        </w:rPr>
        <w:t>4</w:t>
      </w:r>
      <w:r>
        <w:rPr>
          <w:rFonts w:hint="eastAsia" w:ascii="Times New Roman"/>
        </w:rPr>
        <w:t xml:space="preserve"> </w:t>
      </w:r>
      <w:r>
        <w:rPr>
          <w:rFonts w:ascii="Times New Roman"/>
        </w:rPr>
        <w:t>绩效考核</w:t>
      </w:r>
      <w:bookmarkEnd w:id="90"/>
    </w:p>
    <w:p>
      <w:pPr>
        <w:pStyle w:val="9"/>
        <w:numPr>
          <w:ilvl w:val="2"/>
          <w:numId w:val="0"/>
        </w:numPr>
        <w:ind w:left="720" w:leftChars="0"/>
        <w:jc w:val="both"/>
        <w:rPr>
          <w:rFonts w:ascii="Times New Roman"/>
        </w:rPr>
      </w:pPr>
      <w:bookmarkStart w:id="91" w:name="_Toc504637098"/>
      <w:r>
        <w:rPr>
          <w:rFonts w:hint="eastAsia" w:ascii="Times New Roman"/>
          <w:lang w:val="en-US" w:eastAsia="zh-CN"/>
        </w:rPr>
        <w:t>5</w:t>
      </w:r>
      <w:r>
        <w:rPr>
          <w:rFonts w:hint="eastAsia" w:ascii="Times New Roman"/>
        </w:rPr>
        <w:t>.</w:t>
      </w:r>
      <w:r>
        <w:rPr>
          <w:rFonts w:hint="eastAsia" w:ascii="Times New Roman"/>
          <w:lang w:val="en-US" w:eastAsia="zh-CN"/>
        </w:rPr>
        <w:t>4</w:t>
      </w:r>
      <w:r>
        <w:rPr>
          <w:rFonts w:hint="eastAsia" w:ascii="Times New Roman"/>
        </w:rPr>
        <w:t>.1</w:t>
      </w:r>
      <w:r>
        <w:rPr>
          <w:rFonts w:ascii="Times New Roman"/>
        </w:rPr>
        <w:t>考核管理办法</w:t>
      </w:r>
      <w:bookmarkEnd w:id="91"/>
    </w:p>
    <w:p>
      <w:pPr>
        <w:jc w:val="both"/>
        <w:rPr>
          <w:rFonts w:ascii="Times New Roman" w:hAnsi="Times New Roman"/>
          <w:sz w:val="21"/>
          <w:szCs w:val="21"/>
          <w:lang w:val="en-US"/>
        </w:rPr>
      </w:pPr>
      <w:r>
        <w:rPr>
          <w:rFonts w:hint="eastAsia" w:ascii="Times New Roman" w:hAnsi="Times New Roman"/>
          <w:sz w:val="24"/>
          <w:szCs w:val="24"/>
          <w:lang w:val="en-US"/>
        </w:rPr>
        <w:t>为加强对本项目的监督管理，促进社会资本高效优质提供服务，便于政府方对项目建设和运营维护作出客观评价，为</w:t>
      </w:r>
      <w:r>
        <w:rPr>
          <w:rFonts w:hint="eastAsia" w:ascii="Times New Roman" w:hAnsi="Times New Roman"/>
          <w:sz w:val="24"/>
          <w:szCs w:val="24"/>
        </w:rPr>
        <w:t>政府付费</w:t>
      </w:r>
      <w:r>
        <w:rPr>
          <w:rFonts w:hint="eastAsia" w:ascii="Times New Roman" w:hAnsi="Times New Roman"/>
          <w:sz w:val="24"/>
          <w:szCs w:val="24"/>
          <w:lang w:val="en-US"/>
        </w:rPr>
        <w:t>提供依据，结合工作实际，制定本办法。</w:t>
      </w:r>
    </w:p>
    <w:p>
      <w:pPr>
        <w:ind w:firstLine="562"/>
        <w:jc w:val="both"/>
        <w:rPr>
          <w:rFonts w:ascii="Times New Roman" w:hAnsi="Times New Roman"/>
          <w:b/>
          <w:sz w:val="28"/>
          <w:lang w:val="en-US"/>
        </w:rPr>
      </w:pPr>
      <w:r>
        <w:rPr>
          <w:rFonts w:ascii="Times New Roman" w:hAnsi="Times New Roman"/>
          <w:b/>
          <w:sz w:val="28"/>
          <w:lang w:val="en-US"/>
        </w:rPr>
        <w:t>1、考核主体</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由登封市交通运输局组建登封市环嵩山旅游公路改建工程PPP项目绩效考核管理办公室。</w:t>
      </w:r>
    </w:p>
    <w:p>
      <w:pPr>
        <w:ind w:firstLine="562"/>
        <w:jc w:val="both"/>
        <w:rPr>
          <w:rFonts w:ascii="Times New Roman" w:hAnsi="Times New Roman"/>
          <w:b/>
          <w:sz w:val="28"/>
          <w:lang w:val="en-US"/>
        </w:rPr>
      </w:pPr>
      <w:r>
        <w:rPr>
          <w:rFonts w:ascii="Times New Roman" w:hAnsi="Times New Roman"/>
          <w:b/>
          <w:sz w:val="28"/>
          <w:lang w:val="en-US"/>
        </w:rPr>
        <w:t>2、考核对象</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项目公司。</w:t>
      </w:r>
    </w:p>
    <w:p>
      <w:pPr>
        <w:ind w:firstLine="562"/>
        <w:jc w:val="both"/>
        <w:rPr>
          <w:rFonts w:ascii="Times New Roman" w:hAnsi="Times New Roman"/>
          <w:b/>
          <w:sz w:val="28"/>
          <w:lang w:val="en-US"/>
        </w:rPr>
      </w:pPr>
      <w:r>
        <w:rPr>
          <w:rFonts w:ascii="Times New Roman" w:hAnsi="Times New Roman"/>
          <w:b/>
          <w:sz w:val="28"/>
          <w:lang w:val="en-US"/>
        </w:rPr>
        <w:t>3、考核内容</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 建设期绩效考核内容：本项目可用性付费的支付前提为项目交工验收通过，若存在质量、环保、工期延误、安全等问题，项目公司需根据情形承担相应责任。</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(2) 运营维护期绩效考核内容：项目公司运营维护范围以项目公司投资建设形成的资产为基础范围，包括路基路面、桥梁涵洞、绿化养护、交通工程及沿线设施、人行道、自行车道、停车车和观景平台、安全管理和突发事件管理、环境保护、利益相关者满意度等，以及其他与本项目有关的、或政府指定的部门要求项目公司承担的维养工作。上述维护管理内容需调整、新增和细化的，由各方协商安排和解决。</w:t>
      </w:r>
    </w:p>
    <w:p>
      <w:pPr>
        <w:ind w:firstLine="562"/>
        <w:jc w:val="both"/>
        <w:rPr>
          <w:rFonts w:ascii="Times New Roman" w:hAnsi="Times New Roman"/>
          <w:b/>
          <w:sz w:val="28"/>
          <w:lang w:val="en-US"/>
        </w:rPr>
      </w:pPr>
      <w:r>
        <w:rPr>
          <w:rFonts w:ascii="Times New Roman" w:hAnsi="Times New Roman"/>
          <w:b/>
          <w:sz w:val="28"/>
          <w:lang w:val="en-US"/>
        </w:rPr>
        <w:t>4、考核办法</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 建设期绩效考核：项目交工时组织考评组对项目建设质量、工期、环保、安全等进行联合考核，作为可用性费用付费依据。</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(2) 运营维护期绩效考核：运营维护期内，项目实施机构主要通过常规考核和临时考核的方式对项目公司运营维护服务质量进行考核，并将考核结果与可用性服务费的62%和运维绩效服务费的100%挂钩。</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① 常规考核</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常规考核每季度进行一次，在项目公司向项目实施机构提交季度运维情况报告后5日内进行，并应在7日内完成。项目实施机构需提前48小时通知项目公司开始考核的时间，项目公司在项目实施机构的监督下，在规定的考核现场对路基、路面、桥涵、排水和其他设施的表面状况进行物理检查。</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常规考核的最小里程为1公里路段，每季度需变换考核路段范围，年度累计考核里程需达到整个路段长度的100%。</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② 临时考核</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项目实施机构可以随时自行考核项目公司的运维服务质量，如发现缺陷，则需在24小时内以书面形式通知项目公司。项目公司在接到通知后，应及时修复缺陷。临时考核结果一般不作为项目公司违约情形处理，除非临时考核发现的缺陷会导致道路可用性破坏、交通秩序受到严重影响，或存在重大交通安全隐患。</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无论是定期考核还是临时考核，项目公司皆应及时修复缺陷，否则项目实施机构可根据PPP项目合同约定提取项目公司提交的履约保函项下的相应金额。</w:t>
      </w:r>
    </w:p>
    <w:p>
      <w:pPr>
        <w:ind w:firstLine="562"/>
        <w:jc w:val="both"/>
        <w:rPr>
          <w:rFonts w:ascii="Times New Roman" w:hAnsi="Times New Roman"/>
          <w:b/>
          <w:sz w:val="28"/>
          <w:lang w:val="en-US"/>
        </w:rPr>
      </w:pPr>
      <w:r>
        <w:rPr>
          <w:rFonts w:ascii="Times New Roman" w:hAnsi="Times New Roman"/>
          <w:b/>
          <w:sz w:val="28"/>
          <w:lang w:val="en-US"/>
        </w:rPr>
        <w:t>5、评分办法</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 建设期绩效考核评分办法。</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建设期绩效考核评分办法采用合格制。</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即对建设质量、工期、环保、安全四项内容进行考核，各项指标必须达到标准要求才能付费，达不到要求应予限期整改，并根据PPP项目合同约定承担违约责任。</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(2) 运营维护期绩效考核评分办法</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运营维护绩效考核评分办法采取满分100分制。</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① 每季度第一周对上季度工作情况进行考核；</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② 组织考评组（不少于9人）对项目运营维护各个环节进行考核，参与考评人每人一份打分表格，对照打分表逐一打分并得出总分；</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③ 汇总每一位考评人打分，去掉一个最高分和一个最低分，然后以其余考评人分值的简单平均数作为本次考核的最终结果。</w:t>
      </w:r>
    </w:p>
    <w:p>
      <w:pPr>
        <w:ind w:firstLine="562"/>
        <w:jc w:val="both"/>
        <w:rPr>
          <w:rFonts w:ascii="Times New Roman" w:hAnsi="Times New Roman"/>
          <w:b/>
          <w:sz w:val="28"/>
          <w:lang w:val="en-US"/>
        </w:rPr>
      </w:pPr>
      <w:r>
        <w:rPr>
          <w:rFonts w:ascii="Times New Roman" w:hAnsi="Times New Roman"/>
          <w:b/>
          <w:sz w:val="28"/>
          <w:lang w:val="en-US"/>
        </w:rPr>
        <w:t>6、费用支付核定</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 建设费用（可用性服务费）核定</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①四项内容考核全部合格的，按照PPP项目合同约定计算方式按期支付可用性服务费的38%；</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② 未达到标准或要求的应予限期整改，并根据PPP项目合同约定承担违约责任；</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(2) 运维绩效服务费核定</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绩效考核满分为100分，考核分数为91-100分时绩效考核系数为1，若项目公司当季考核结果有不合格处，项目公司应按照政府要求予以改正；政府根据当年四个季度分别对项目公司考核的绩效考核结果，计算当年项目公司绩效考核综合得分（简单平均数），并以此作为当年付费调整依据。</w:t>
      </w:r>
    </w:p>
    <w:p>
      <w:pPr>
        <w:ind w:firstLine="482" w:firstLineChars="0"/>
        <w:rPr>
          <w:rFonts w:hint="eastAsia" w:ascii="Times New Roman" w:hAnsi="Times New Roman"/>
          <w:sz w:val="24"/>
          <w:szCs w:val="24"/>
          <w:lang w:val="en-US"/>
        </w:rPr>
      </w:pPr>
      <w:bookmarkStart w:id="92" w:name="_Hlk498011354"/>
      <w:r>
        <w:rPr>
          <w:rFonts w:hint="eastAsia" w:ascii="Times New Roman" w:hAnsi="Times New Roman"/>
          <w:sz w:val="24"/>
          <w:szCs w:val="24"/>
          <w:lang w:val="en-US"/>
        </w:rPr>
        <w:t>此外，可用性服务费的62%与运维绩效考核挂钩，根据运维绩效考核支付可用性服务费的62%。</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（3）具体付费方法</w:t>
      </w:r>
    </w:p>
    <w:p>
      <w:pPr>
        <w:ind w:firstLine="482" w:firstLineChars="0"/>
        <w:rPr>
          <w:rFonts w:hint="eastAsia" w:ascii="Times New Roman" w:hAnsi="Times New Roman"/>
          <w:sz w:val="24"/>
          <w:szCs w:val="24"/>
          <w:lang w:val="en-US" w:eastAsia="zh-CN"/>
        </w:rPr>
      </w:pPr>
      <w:r>
        <w:rPr>
          <w:rFonts w:hint="eastAsia" w:ascii="Times New Roman" w:hAnsi="Times New Roman"/>
          <w:sz w:val="24"/>
          <w:szCs w:val="24"/>
          <w:lang w:val="en-US"/>
        </w:rPr>
        <w:t>根据运营期绩效考核标准及得分情况，按照下表确定相应的绩效考核系数进行服务费的支付，绩效考核系数计算表如下所示：</w:t>
      </w:r>
    </w:p>
    <w:p>
      <w:pPr>
        <w:widowControl w:val="0"/>
        <w:spacing w:after="120" w:line="240" w:lineRule="auto"/>
        <w:ind w:firstLine="562"/>
        <w:jc w:val="center"/>
        <w:rPr>
          <w:rFonts w:ascii="Times New Roman" w:hAnsi="Times New Roman" w:eastAsia="宋体"/>
          <w:b/>
          <w:kern w:val="2"/>
          <w:sz w:val="28"/>
          <w:lang w:val="en-US"/>
        </w:rPr>
      </w:pPr>
      <w:r>
        <w:rPr>
          <w:rFonts w:hint="eastAsia" w:ascii="Times New Roman" w:hAnsi="Times New Roman" w:eastAsia="宋体"/>
          <w:b/>
          <w:kern w:val="2"/>
          <w:sz w:val="28"/>
          <w:lang w:val="en-US"/>
        </w:rPr>
        <w:t>表</w:t>
      </w:r>
      <w:r>
        <w:rPr>
          <w:rFonts w:hint="eastAsia" w:ascii="Times New Roman" w:hAnsi="Times New Roman"/>
          <w:b/>
          <w:kern w:val="2"/>
          <w:sz w:val="28"/>
          <w:lang w:val="en-US" w:eastAsia="zh-CN"/>
        </w:rPr>
        <w:t>5</w:t>
      </w:r>
      <w:r>
        <w:rPr>
          <w:rFonts w:hint="eastAsia" w:ascii="Times New Roman" w:hAnsi="Times New Roman" w:eastAsia="宋体"/>
          <w:b/>
          <w:kern w:val="2"/>
          <w:sz w:val="28"/>
          <w:lang w:val="en-US"/>
        </w:rPr>
        <w:t>-</w:t>
      </w:r>
      <w:r>
        <w:rPr>
          <w:rFonts w:ascii="Times New Roman" w:hAnsi="Times New Roman" w:eastAsia="宋体"/>
          <w:b/>
          <w:kern w:val="2"/>
          <w:sz w:val="28"/>
          <w:lang w:val="en-US"/>
        </w:rPr>
        <w:t>2</w:t>
      </w:r>
      <w:r>
        <w:rPr>
          <w:rFonts w:hint="eastAsia" w:ascii="Times New Roman" w:hAnsi="Times New Roman" w:eastAsia="宋体"/>
          <w:b/>
          <w:kern w:val="2"/>
          <w:sz w:val="28"/>
          <w:lang w:val="en-US"/>
        </w:rPr>
        <w:t xml:space="preserve"> 绩效</w:t>
      </w:r>
      <w:r>
        <w:rPr>
          <w:rFonts w:ascii="Times New Roman" w:hAnsi="Times New Roman" w:eastAsia="宋体"/>
          <w:b/>
          <w:kern w:val="2"/>
          <w:sz w:val="28"/>
          <w:lang w:val="en-US"/>
        </w:rPr>
        <w:t>考核系数计算表</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39"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序号</w:t>
            </w:r>
          </w:p>
        </w:tc>
        <w:tc>
          <w:tcPr>
            <w:tcW w:w="2840"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绩效考核得分</w:t>
            </w:r>
          </w:p>
        </w:tc>
        <w:tc>
          <w:tcPr>
            <w:tcW w:w="2843"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绩效考核系数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39"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1</w:t>
            </w:r>
          </w:p>
        </w:tc>
        <w:tc>
          <w:tcPr>
            <w:tcW w:w="2840"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91-100</w:t>
            </w:r>
          </w:p>
        </w:tc>
        <w:tc>
          <w:tcPr>
            <w:tcW w:w="2843"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39"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2</w:t>
            </w:r>
          </w:p>
        </w:tc>
        <w:tc>
          <w:tcPr>
            <w:tcW w:w="2840"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81-90</w:t>
            </w:r>
          </w:p>
        </w:tc>
        <w:tc>
          <w:tcPr>
            <w:tcW w:w="2843"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39"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3</w:t>
            </w:r>
          </w:p>
        </w:tc>
        <w:tc>
          <w:tcPr>
            <w:tcW w:w="2840"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71-80</w:t>
            </w:r>
          </w:p>
        </w:tc>
        <w:tc>
          <w:tcPr>
            <w:tcW w:w="2843"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39"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4</w:t>
            </w:r>
          </w:p>
        </w:tc>
        <w:tc>
          <w:tcPr>
            <w:tcW w:w="2840"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60-70</w:t>
            </w:r>
          </w:p>
        </w:tc>
        <w:tc>
          <w:tcPr>
            <w:tcW w:w="2843"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39"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5</w:t>
            </w:r>
          </w:p>
        </w:tc>
        <w:tc>
          <w:tcPr>
            <w:tcW w:w="2840"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＜60</w:t>
            </w:r>
          </w:p>
        </w:tc>
        <w:tc>
          <w:tcPr>
            <w:tcW w:w="2843" w:type="dxa"/>
            <w:vAlign w:val="center"/>
          </w:tcPr>
          <w:p>
            <w:pPr>
              <w:keepNext w:val="0"/>
              <w:keepLines w:val="0"/>
              <w:widowControl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olor w:val="000000"/>
                <w:kern w:val="2"/>
                <w:sz w:val="21"/>
                <w:szCs w:val="21"/>
                <w:lang w:val="en-US"/>
              </w:rPr>
            </w:pPr>
            <w:r>
              <w:rPr>
                <w:rFonts w:hint="default" w:ascii="Times New Roman" w:hAnsi="Times New Roman" w:eastAsia="宋体"/>
                <w:color w:val="000000"/>
                <w:kern w:val="2"/>
                <w:sz w:val="21"/>
                <w:szCs w:val="21"/>
                <w:lang w:val="en-US"/>
              </w:rPr>
              <w:t>政府方可以强制解约</w:t>
            </w:r>
          </w:p>
        </w:tc>
      </w:tr>
    </w:tbl>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绩效考核的结果与年度可用性服务费的62%和年度运维绩效服务费的全部挂钩，即：</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年度政府付费=（年度可用性服务费×62%+年度运维绩效服务费）×绩效考核系数+年度可用性服务费×38%</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注：年度可用性服务费、年度运维绩效服务费指通过竞价确定的、且通过后期依程序调价后的年度可用性服务费、年度运维绩效服务费。</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根据以上绩效考核办法，测算出不同绩效考核结果下的</w:t>
      </w:r>
      <w:r>
        <w:rPr>
          <w:rFonts w:hint="eastAsia" w:ascii="Times New Roman" w:hAnsi="Times New Roman"/>
          <w:sz w:val="24"/>
          <w:szCs w:val="24"/>
        </w:rPr>
        <w:t>政府付费</w:t>
      </w:r>
      <w:r>
        <w:rPr>
          <w:rFonts w:hint="eastAsia" w:ascii="Times New Roman" w:hAnsi="Times New Roman"/>
          <w:sz w:val="24"/>
          <w:szCs w:val="24"/>
          <w:lang w:val="en-US"/>
        </w:rPr>
        <w:t>数额。</w:t>
      </w:r>
      <w:bookmarkEnd w:id="92"/>
      <w:bookmarkStart w:id="93" w:name="_Toc494205071"/>
      <w:bookmarkStart w:id="94" w:name="_Toc504637099"/>
    </w:p>
    <w:p>
      <w:pPr>
        <w:jc w:val="both"/>
        <w:rPr>
          <w:rFonts w:ascii="Times New Roman"/>
        </w:rPr>
      </w:pPr>
      <w:r>
        <w:rPr>
          <w:rFonts w:hint="eastAsia" w:ascii="Times New Roman"/>
          <w:lang w:val="en-US" w:eastAsia="zh-CN"/>
        </w:rPr>
        <w:t>5</w:t>
      </w:r>
      <w:r>
        <w:rPr>
          <w:rFonts w:ascii="Times New Roman"/>
        </w:rPr>
        <w:t>.</w:t>
      </w:r>
      <w:r>
        <w:rPr>
          <w:rFonts w:hint="eastAsia" w:ascii="Times New Roman"/>
          <w:lang w:val="en-US" w:eastAsia="zh-CN"/>
        </w:rPr>
        <w:t>4</w:t>
      </w:r>
      <w:r>
        <w:rPr>
          <w:rFonts w:ascii="Times New Roman"/>
        </w:rPr>
        <w:t>.2 考核</w:t>
      </w:r>
      <w:r>
        <w:rPr>
          <w:rFonts w:hint="eastAsia" w:ascii="Times New Roman"/>
        </w:rPr>
        <w:t>指标</w:t>
      </w:r>
      <w:bookmarkEnd w:id="93"/>
      <w:bookmarkEnd w:id="94"/>
    </w:p>
    <w:p>
      <w:pPr>
        <w:ind w:firstLine="482" w:firstLineChars="0"/>
        <w:rPr>
          <w:rFonts w:hint="eastAsia" w:ascii="Times New Roman" w:hAnsi="Times New Roman"/>
          <w:sz w:val="24"/>
          <w:szCs w:val="24"/>
          <w:lang w:val="en-US"/>
        </w:rPr>
      </w:pPr>
      <w:bookmarkStart w:id="95" w:name="_Hlk488768520"/>
      <w:r>
        <w:rPr>
          <w:rFonts w:hint="eastAsia" w:ascii="Times New Roman" w:hAnsi="Times New Roman"/>
          <w:sz w:val="24"/>
          <w:szCs w:val="24"/>
          <w:lang w:val="en-US"/>
        </w:rPr>
        <w:t>1、建设期绩效考核指标</w:t>
      </w:r>
    </w:p>
    <w:p>
      <w:pPr>
        <w:ind w:firstLine="482" w:firstLineChars="0"/>
        <w:rPr>
          <w:lang w:val="en-US" w:eastAsia="zh-CN"/>
        </w:rPr>
      </w:pPr>
      <w:r>
        <w:rPr>
          <w:rFonts w:hint="eastAsia" w:ascii="Times New Roman" w:hAnsi="Times New Roman"/>
          <w:sz w:val="24"/>
          <w:szCs w:val="24"/>
          <w:lang w:val="en-US"/>
        </w:rPr>
        <w:t>本项目建设期的绩效考核指标如下表所述，若下述指标要求未达成，市交通运输局可根据PPP 项目合同相关约定提取项目公司提交的建设期履约保函中的相应金额。</w:t>
      </w:r>
    </w:p>
    <w:bookmarkEnd w:id="95"/>
    <w:p>
      <w:pPr>
        <w:keepNext/>
        <w:widowControl w:val="0"/>
        <w:adjustRightInd w:val="0"/>
        <w:snapToGrid w:val="0"/>
        <w:spacing w:before="156" w:beforeLines="50"/>
        <w:ind w:firstLine="0" w:firstLineChars="0"/>
        <w:jc w:val="center"/>
        <w:rPr>
          <w:rFonts w:ascii="Times New Roman" w:hAnsi="Times New Roman"/>
          <w:b/>
          <w:bCs/>
          <w:kern w:val="2"/>
          <w:sz w:val="28"/>
          <w:szCs w:val="32"/>
          <w:lang w:val="en-US"/>
        </w:rPr>
      </w:pPr>
      <w:r>
        <w:rPr>
          <w:rFonts w:ascii="Times New Roman" w:hAnsi="Times New Roman"/>
          <w:b/>
          <w:bCs/>
          <w:kern w:val="2"/>
          <w:sz w:val="28"/>
          <w:szCs w:val="32"/>
          <w:lang w:val="en-US"/>
        </w:rPr>
        <w:t>表</w:t>
      </w:r>
      <w:r>
        <w:rPr>
          <w:rFonts w:hint="eastAsia" w:ascii="Times New Roman" w:hAnsi="Times New Roman"/>
          <w:b/>
          <w:bCs/>
          <w:kern w:val="2"/>
          <w:sz w:val="28"/>
          <w:szCs w:val="32"/>
          <w:lang w:val="en-US" w:eastAsia="zh-CN"/>
        </w:rPr>
        <w:t>5</w:t>
      </w:r>
      <w:r>
        <w:rPr>
          <w:rFonts w:ascii="Times New Roman" w:hAnsi="Times New Roman"/>
          <w:b/>
          <w:bCs/>
          <w:kern w:val="2"/>
          <w:sz w:val="28"/>
          <w:szCs w:val="32"/>
          <w:lang w:val="en-US"/>
        </w:rPr>
        <w:t>-3  可用性绩效考核指标表</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default" w:ascii="仿宋" w:eastAsia="仿宋"/>
                <w:b/>
                <w:kern w:val="2"/>
                <w:sz w:val="21"/>
                <w:szCs w:val="21"/>
                <w:lang w:val="en-US"/>
              </w:rPr>
            </w:pPr>
            <w:r>
              <w:rPr>
                <w:rFonts w:hint="eastAsia" w:ascii="仿宋" w:eastAsia="仿宋"/>
                <w:b/>
                <w:kern w:val="2"/>
                <w:sz w:val="21"/>
                <w:szCs w:val="21"/>
                <w:lang w:val="en-US"/>
              </w:rPr>
              <w:t>指标类别</w:t>
            </w:r>
          </w:p>
        </w:tc>
        <w:tc>
          <w:tcPr>
            <w:tcW w:w="5670" w:type="dxa"/>
            <w:vAlign w:val="center"/>
          </w:tcPr>
          <w:p>
            <w:pPr>
              <w:keepNext w:val="0"/>
              <w:keepLines w:val="0"/>
              <w:widowControl w:val="0"/>
              <w:suppressLineNumbers w:val="0"/>
              <w:spacing w:before="0" w:beforeAutospacing="0" w:after="0" w:afterAutospacing="0" w:line="400" w:lineRule="exact"/>
              <w:ind w:left="211" w:right="0" w:hanging="210" w:hangingChars="100"/>
              <w:jc w:val="center"/>
              <w:rPr>
                <w:rFonts w:hint="default" w:ascii="仿宋" w:eastAsia="仿宋"/>
                <w:b/>
                <w:kern w:val="2"/>
                <w:sz w:val="21"/>
                <w:szCs w:val="21"/>
                <w:lang w:val="en-US"/>
              </w:rPr>
            </w:pPr>
            <w:r>
              <w:rPr>
                <w:rFonts w:hint="eastAsia" w:ascii="仿宋" w:eastAsia="仿宋"/>
                <w:b/>
                <w:kern w:val="2"/>
                <w:sz w:val="21"/>
                <w:szCs w:val="21"/>
                <w:lang w:val="en-US"/>
              </w:rPr>
              <w:t>指标要求</w:t>
            </w:r>
          </w:p>
        </w:tc>
        <w:tc>
          <w:tcPr>
            <w:tcW w:w="1893" w:type="dxa"/>
            <w:vAlign w:val="center"/>
          </w:tcPr>
          <w:p>
            <w:pPr>
              <w:keepNext w:val="0"/>
              <w:keepLines w:val="0"/>
              <w:widowControl w:val="0"/>
              <w:suppressLineNumbers w:val="0"/>
              <w:spacing w:before="0" w:beforeAutospacing="0" w:after="0" w:afterAutospacing="0" w:line="400" w:lineRule="exact"/>
              <w:ind w:left="211" w:right="0" w:hanging="210" w:hangingChars="100"/>
              <w:jc w:val="center"/>
              <w:rPr>
                <w:rFonts w:hint="eastAsia" w:ascii="仿宋" w:eastAsia="仿宋"/>
                <w:b/>
                <w:kern w:val="2"/>
                <w:sz w:val="21"/>
                <w:szCs w:val="21"/>
                <w:lang w:val="en-US"/>
              </w:rPr>
            </w:pPr>
            <w:r>
              <w:rPr>
                <w:rFonts w:hint="eastAsia" w:ascii="仿宋" w:eastAsia="仿宋"/>
                <w:b/>
                <w:kern w:val="2"/>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工程质量</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p>
        </w:tc>
        <w:tc>
          <w:tcPr>
            <w:tcW w:w="5670" w:type="dxa"/>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包括但不限于：</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《公路工程质量检验评定标准》</w:t>
            </w:r>
            <w:r>
              <w:rPr>
                <w:rFonts w:hint="default" w:ascii="仿宋" w:eastAsia="仿宋"/>
                <w:kern w:val="2"/>
                <w:sz w:val="21"/>
                <w:szCs w:val="21"/>
                <w:lang w:val="en-US"/>
              </w:rPr>
              <w:t>(JTGF801-2012)</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《公路路基施工技术规范》（</w:t>
            </w:r>
            <w:r>
              <w:rPr>
                <w:rFonts w:hint="default" w:ascii="仿宋" w:eastAsia="仿宋"/>
                <w:kern w:val="2"/>
                <w:sz w:val="21"/>
                <w:szCs w:val="21"/>
                <w:lang w:val="en-US"/>
              </w:rPr>
              <w:t>JTG F10-2006）</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《公路路面基层施工技术细则》（</w:t>
            </w:r>
            <w:r>
              <w:rPr>
                <w:rFonts w:hint="default" w:ascii="仿宋" w:eastAsia="仿宋"/>
                <w:kern w:val="2"/>
                <w:sz w:val="21"/>
                <w:szCs w:val="21"/>
                <w:lang w:val="en-US"/>
              </w:rPr>
              <w:t>JTG/TF20-2015）</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《公路水泥混凝土路面施工技术细则》（</w:t>
            </w:r>
            <w:r>
              <w:rPr>
                <w:rFonts w:hint="default" w:ascii="仿宋" w:eastAsia="仿宋"/>
                <w:kern w:val="2"/>
                <w:sz w:val="21"/>
                <w:szCs w:val="21"/>
                <w:lang w:val="en-US"/>
              </w:rPr>
              <w:t>JTG/T F30-2014）</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《公路沥青路面施工技术规范》（</w:t>
            </w:r>
            <w:r>
              <w:rPr>
                <w:rFonts w:hint="default" w:ascii="仿宋" w:eastAsia="仿宋"/>
                <w:kern w:val="2"/>
                <w:sz w:val="21"/>
                <w:szCs w:val="21"/>
                <w:lang w:val="en-US"/>
              </w:rPr>
              <w:t>JTG F40-2004）</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《公路桥涵施工技术规范》（</w:t>
            </w:r>
            <w:r>
              <w:rPr>
                <w:rFonts w:hint="default" w:ascii="仿宋" w:eastAsia="仿宋"/>
                <w:kern w:val="2"/>
                <w:sz w:val="21"/>
                <w:szCs w:val="21"/>
                <w:lang w:val="en-US"/>
              </w:rPr>
              <w:t>JTG/T F50-2011）</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《公路交通安全设施施工技术规范》（</w:t>
            </w:r>
            <w:r>
              <w:rPr>
                <w:rFonts w:hint="default" w:ascii="仿宋" w:eastAsia="仿宋"/>
                <w:kern w:val="2"/>
                <w:sz w:val="21"/>
                <w:szCs w:val="21"/>
                <w:lang w:val="en-US"/>
              </w:rPr>
              <w:t>JTGF71-2006）</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《公路护栏安全性能评价标准》（</w:t>
            </w:r>
            <w:r>
              <w:rPr>
                <w:rFonts w:hint="default" w:ascii="仿宋" w:eastAsia="仿宋"/>
                <w:kern w:val="2"/>
                <w:sz w:val="21"/>
                <w:szCs w:val="21"/>
                <w:lang w:val="en-US"/>
              </w:rPr>
              <w:t>JTGB05-01-2013）</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《公路工程基桩动测技术规程》及现行试验规程（</w:t>
            </w:r>
            <w:r>
              <w:rPr>
                <w:rFonts w:hint="default" w:ascii="仿宋" w:eastAsia="仿宋"/>
                <w:kern w:val="2"/>
                <w:sz w:val="21"/>
                <w:szCs w:val="21"/>
                <w:lang w:val="en-US"/>
              </w:rPr>
              <w:t>JTG/T F81-01-2004）</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 w:eastAsia="仿宋"/>
                <w:kern w:val="2"/>
                <w:sz w:val="21"/>
                <w:szCs w:val="21"/>
                <w:lang w:val="en-US"/>
              </w:rPr>
            </w:pPr>
            <w:r>
              <w:rPr>
                <w:rFonts w:hint="eastAsia" w:ascii="仿宋" w:eastAsia="仿宋"/>
                <w:kern w:val="2"/>
                <w:sz w:val="21"/>
                <w:szCs w:val="21"/>
                <w:lang w:val="en-US"/>
              </w:rPr>
              <w:t>《房屋建筑和市政基础设施工程竣工验收规定》</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《给水排水管道施工及验收规范》（</w:t>
            </w:r>
            <w:r>
              <w:rPr>
                <w:rFonts w:hint="default" w:ascii="仿宋" w:eastAsia="仿宋"/>
                <w:kern w:val="2"/>
                <w:sz w:val="21"/>
                <w:szCs w:val="21"/>
                <w:lang w:val="en-US"/>
              </w:rPr>
              <w:t>GB50268-2008）</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《混凝土结构工程施工质量验收规范》（</w:t>
            </w:r>
            <w:r>
              <w:rPr>
                <w:rFonts w:hint="default" w:ascii="仿宋" w:eastAsia="仿宋"/>
                <w:kern w:val="2"/>
                <w:sz w:val="21"/>
                <w:szCs w:val="21"/>
                <w:lang w:val="en-US"/>
              </w:rPr>
              <w:t>GB50204-2015）</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《园林绿化工程施工及验收规范》（</w:t>
            </w:r>
            <w:r>
              <w:rPr>
                <w:rFonts w:hint="default" w:ascii="仿宋" w:eastAsia="仿宋"/>
                <w:kern w:val="2"/>
                <w:sz w:val="21"/>
                <w:szCs w:val="21"/>
                <w:lang w:val="en-US"/>
              </w:rPr>
              <w:t>CJJ82-2012）</w:t>
            </w:r>
          </w:p>
          <w:p>
            <w:pPr>
              <w:keepNext w:val="0"/>
              <w:keepLines w:val="0"/>
              <w:widowControl w:val="0"/>
              <w:suppressLineNumbers w:val="0"/>
              <w:spacing w:before="0" w:beforeAutospacing="0" w:after="0" w:afterAutospacing="0" w:line="240" w:lineRule="auto"/>
              <w:ind w:left="0" w:right="0" w:firstLine="0" w:firstLineChars="0"/>
              <w:rPr>
                <w:rFonts w:hint="eastAsia" w:ascii="仿宋" w:eastAsia="仿宋"/>
                <w:kern w:val="2"/>
                <w:sz w:val="21"/>
                <w:szCs w:val="21"/>
                <w:lang w:val="en-US"/>
              </w:rPr>
            </w:pPr>
            <w:r>
              <w:rPr>
                <w:rFonts w:hint="eastAsia" w:ascii="仿宋" w:eastAsia="仿宋"/>
                <w:kern w:val="2"/>
                <w:sz w:val="21"/>
                <w:szCs w:val="21"/>
                <w:lang w:val="en-US"/>
              </w:rPr>
              <w:t>《道路交通标志和标线》（</w:t>
            </w:r>
            <w:r>
              <w:rPr>
                <w:rFonts w:hint="default" w:ascii="仿宋" w:eastAsia="仿宋"/>
                <w:kern w:val="2"/>
                <w:sz w:val="21"/>
                <w:szCs w:val="21"/>
                <w:lang w:val="en-US"/>
              </w:rPr>
              <w:t>GB5768-2009）</w:t>
            </w:r>
          </w:p>
        </w:tc>
        <w:tc>
          <w:tcPr>
            <w:tcW w:w="1893" w:type="dxa"/>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eastAsia="仿宋"/>
                <w:kern w:val="2"/>
                <w:sz w:val="21"/>
                <w:szCs w:val="21"/>
                <w:lang w:val="en-US"/>
              </w:rPr>
            </w:pPr>
            <w:r>
              <w:rPr>
                <w:rFonts w:hint="eastAsia" w:ascii="仿宋" w:eastAsia="仿宋"/>
                <w:kern w:val="2"/>
                <w:sz w:val="21"/>
                <w:szCs w:val="21"/>
                <w:lang w:val="en-US"/>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eastAsia" w:ascii="仿宋" w:eastAsia="仿宋"/>
                <w:kern w:val="2"/>
                <w:sz w:val="21"/>
                <w:szCs w:val="21"/>
                <w:lang w:val="en-US"/>
              </w:rPr>
            </w:pPr>
            <w:r>
              <w:rPr>
                <w:rFonts w:hint="eastAsia" w:ascii="仿宋" w:eastAsia="仿宋"/>
                <w:kern w:val="2"/>
                <w:sz w:val="21"/>
                <w:szCs w:val="21"/>
                <w:lang w:val="en-US"/>
              </w:rPr>
              <w:t>工期</w:t>
            </w:r>
          </w:p>
        </w:tc>
        <w:tc>
          <w:tcPr>
            <w:tcW w:w="5670" w:type="dxa"/>
            <w:vAlign w:val="center"/>
          </w:tcPr>
          <w:p>
            <w:pPr>
              <w:keepNext w:val="0"/>
              <w:keepLines w:val="0"/>
              <w:widowControl w:val="0"/>
              <w:suppressLineNumbers w:val="0"/>
              <w:spacing w:before="0" w:beforeAutospacing="0" w:after="0" w:afterAutospacing="0" w:line="400" w:lineRule="exact"/>
              <w:ind w:left="0" w:right="0" w:firstLine="0" w:firstLineChars="0"/>
              <w:rPr>
                <w:rFonts w:hint="eastAsia" w:ascii="仿宋" w:eastAsia="仿宋"/>
                <w:kern w:val="2"/>
                <w:sz w:val="21"/>
                <w:szCs w:val="21"/>
                <w:lang w:val="en-US"/>
              </w:rPr>
            </w:pPr>
            <w:r>
              <w:rPr>
                <w:rFonts w:hint="eastAsia" w:ascii="仿宋" w:eastAsia="仿宋"/>
                <w:kern w:val="2"/>
                <w:sz w:val="21"/>
                <w:szCs w:val="21"/>
                <w:lang w:val="en-US"/>
              </w:rPr>
              <w:t>建设期</w:t>
            </w:r>
            <w:r>
              <w:rPr>
                <w:rFonts w:hint="default" w:ascii="仿宋" w:eastAsia="仿宋"/>
                <w:kern w:val="2"/>
                <w:sz w:val="21"/>
                <w:szCs w:val="21"/>
                <w:lang w:val="en-US"/>
              </w:rPr>
              <w:t>为</w:t>
            </w:r>
            <w:r>
              <w:rPr>
                <w:rFonts w:hint="eastAsia" w:ascii="仿宋" w:eastAsia="仿宋"/>
                <w:kern w:val="2"/>
                <w:sz w:val="21"/>
                <w:szCs w:val="21"/>
                <w:lang w:val="en-US"/>
              </w:rPr>
              <w:t>18个</w:t>
            </w:r>
            <w:r>
              <w:rPr>
                <w:rFonts w:hint="default" w:ascii="仿宋" w:eastAsia="仿宋"/>
                <w:kern w:val="2"/>
                <w:sz w:val="21"/>
                <w:szCs w:val="21"/>
                <w:lang w:val="en-US"/>
              </w:rPr>
              <w:t>月</w:t>
            </w:r>
            <w:r>
              <w:rPr>
                <w:rFonts w:hint="eastAsia" w:ascii="仿宋" w:eastAsia="仿宋"/>
                <w:kern w:val="2"/>
                <w:sz w:val="21"/>
                <w:szCs w:val="21"/>
                <w:lang w:val="en-US"/>
              </w:rPr>
              <w:t>,从</w:t>
            </w:r>
            <w:r>
              <w:rPr>
                <w:rFonts w:hint="default" w:ascii="仿宋" w:eastAsia="仿宋"/>
                <w:kern w:val="2"/>
                <w:sz w:val="21"/>
                <w:szCs w:val="21"/>
                <w:lang w:val="en-US"/>
              </w:rPr>
              <w:t>开工日</w:t>
            </w:r>
            <w:r>
              <w:rPr>
                <w:rFonts w:hint="eastAsia" w:ascii="仿宋" w:eastAsia="仿宋"/>
                <w:kern w:val="2"/>
                <w:sz w:val="21"/>
                <w:szCs w:val="21"/>
                <w:lang w:val="en-US"/>
              </w:rPr>
              <w:t>起至通车</w:t>
            </w:r>
            <w:r>
              <w:rPr>
                <w:rFonts w:hint="default" w:ascii="仿宋" w:eastAsia="仿宋"/>
                <w:kern w:val="2"/>
                <w:sz w:val="21"/>
                <w:szCs w:val="21"/>
                <w:lang w:val="en-US"/>
              </w:rPr>
              <w:t>基准日止</w:t>
            </w:r>
            <w:r>
              <w:rPr>
                <w:rFonts w:hint="eastAsia" w:ascii="仿宋" w:eastAsia="仿宋"/>
                <w:kern w:val="2"/>
                <w:sz w:val="21"/>
                <w:szCs w:val="21"/>
                <w:lang w:val="en-US"/>
              </w:rPr>
              <w:t>,开工日</w:t>
            </w:r>
            <w:r>
              <w:rPr>
                <w:rFonts w:hint="default" w:ascii="仿宋" w:eastAsia="仿宋"/>
                <w:kern w:val="2"/>
                <w:sz w:val="21"/>
                <w:szCs w:val="21"/>
                <w:lang w:val="en-US"/>
              </w:rPr>
              <w:t>以</w:t>
            </w:r>
            <w:r>
              <w:rPr>
                <w:rFonts w:hint="eastAsia" w:ascii="仿宋" w:eastAsia="仿宋"/>
                <w:kern w:val="2"/>
                <w:sz w:val="21"/>
                <w:szCs w:val="21"/>
                <w:lang w:val="en-US"/>
              </w:rPr>
              <w:t>监理</w:t>
            </w:r>
            <w:r>
              <w:rPr>
                <w:rFonts w:hint="default" w:ascii="仿宋" w:eastAsia="仿宋"/>
                <w:kern w:val="2"/>
                <w:sz w:val="21"/>
                <w:szCs w:val="21"/>
                <w:lang w:val="en-US"/>
              </w:rPr>
              <w:t>工程师的开工令为准</w:t>
            </w:r>
          </w:p>
        </w:tc>
        <w:tc>
          <w:tcPr>
            <w:tcW w:w="1893" w:type="dxa"/>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eastAsia="仿宋"/>
                <w:kern w:val="2"/>
                <w:sz w:val="21"/>
                <w:szCs w:val="21"/>
                <w:lang w:val="en-US"/>
              </w:rPr>
            </w:pPr>
            <w:r>
              <w:rPr>
                <w:rFonts w:hint="eastAsia" w:ascii="仿宋" w:eastAsia="仿宋"/>
                <w:kern w:val="2"/>
                <w:sz w:val="21"/>
                <w:szCs w:val="21"/>
                <w:lang w:val="en-US"/>
              </w:rPr>
              <w:t>以验收</w:t>
            </w:r>
            <w:r>
              <w:rPr>
                <w:rFonts w:hint="default" w:ascii="仿宋" w:eastAsia="仿宋"/>
                <w:kern w:val="2"/>
                <w:sz w:val="21"/>
                <w:szCs w:val="21"/>
                <w:lang w:val="en-US"/>
              </w:rPr>
              <w:t>合格文件</w:t>
            </w:r>
            <w:r>
              <w:rPr>
                <w:rFonts w:hint="eastAsia" w:ascii="仿宋" w:eastAsia="仿宋"/>
                <w:kern w:val="2"/>
                <w:sz w:val="21"/>
                <w:szCs w:val="21"/>
                <w:lang w:val="en-US"/>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环境</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保护</w:t>
            </w:r>
          </w:p>
        </w:tc>
        <w:tc>
          <w:tcPr>
            <w:tcW w:w="5670" w:type="dxa"/>
            <w:vAlign w:val="center"/>
          </w:tcPr>
          <w:p>
            <w:pPr>
              <w:keepNext w:val="0"/>
              <w:keepLines w:val="0"/>
              <w:widowControl w:val="0"/>
              <w:suppressLineNumbers w:val="0"/>
              <w:spacing w:before="0" w:beforeAutospacing="0" w:after="0" w:afterAutospacing="0" w:line="400" w:lineRule="exact"/>
              <w:ind w:left="0" w:right="0" w:firstLine="0" w:firstLineChars="0"/>
              <w:rPr>
                <w:rFonts w:hint="default" w:ascii="仿宋" w:eastAsia="仿宋"/>
                <w:kern w:val="2"/>
                <w:sz w:val="21"/>
                <w:szCs w:val="21"/>
                <w:lang w:val="en-US"/>
              </w:rPr>
            </w:pPr>
            <w:r>
              <w:rPr>
                <w:rFonts w:hint="eastAsia" w:ascii="仿宋" w:eastAsia="仿宋"/>
                <w:kern w:val="2"/>
                <w:sz w:val="21"/>
                <w:szCs w:val="21"/>
                <w:lang w:val="en-US"/>
              </w:rPr>
              <w:t>《公路建设项目环境影响评价规范》（JTGB03-2006）</w:t>
            </w:r>
          </w:p>
          <w:p>
            <w:pPr>
              <w:keepNext w:val="0"/>
              <w:keepLines w:val="0"/>
              <w:widowControl w:val="0"/>
              <w:suppressLineNumbers w:val="0"/>
              <w:spacing w:before="0" w:beforeAutospacing="0" w:after="0" w:afterAutospacing="0" w:line="400" w:lineRule="exact"/>
              <w:ind w:left="0" w:right="0" w:firstLine="0" w:firstLineChars="0"/>
              <w:rPr>
                <w:rFonts w:hint="default" w:ascii="仿宋" w:eastAsia="仿宋"/>
                <w:kern w:val="2"/>
                <w:sz w:val="21"/>
                <w:szCs w:val="21"/>
                <w:lang w:val="en-US"/>
              </w:rPr>
            </w:pPr>
            <w:r>
              <w:rPr>
                <w:rFonts w:hint="eastAsia" w:ascii="仿宋" w:eastAsia="仿宋"/>
                <w:kern w:val="2"/>
                <w:sz w:val="21"/>
                <w:szCs w:val="21"/>
                <w:lang w:val="en-US"/>
              </w:rPr>
              <w:t>《建设项目环境影响技术评估导则》（</w:t>
            </w:r>
            <w:r>
              <w:rPr>
                <w:rFonts w:hint="default" w:ascii="仿宋" w:eastAsia="仿宋"/>
                <w:kern w:val="2"/>
                <w:sz w:val="21"/>
                <w:szCs w:val="21"/>
                <w:lang w:val="en-US"/>
              </w:rPr>
              <w:t>HJ 616-2011）</w:t>
            </w:r>
          </w:p>
          <w:p>
            <w:pPr>
              <w:keepNext w:val="0"/>
              <w:keepLines w:val="0"/>
              <w:widowControl w:val="0"/>
              <w:suppressLineNumbers w:val="0"/>
              <w:spacing w:before="0" w:beforeAutospacing="0" w:after="0" w:afterAutospacing="0" w:line="400" w:lineRule="exact"/>
              <w:ind w:left="0" w:right="0" w:firstLine="0" w:firstLineChars="0"/>
              <w:rPr>
                <w:rFonts w:hint="default" w:ascii="仿宋" w:eastAsia="仿宋"/>
                <w:kern w:val="2"/>
                <w:sz w:val="21"/>
                <w:szCs w:val="21"/>
                <w:lang w:val="en-US"/>
              </w:rPr>
            </w:pPr>
            <w:r>
              <w:rPr>
                <w:rFonts w:hint="eastAsia" w:ascii="仿宋" w:eastAsia="仿宋"/>
                <w:kern w:val="2"/>
                <w:sz w:val="21"/>
                <w:szCs w:val="21"/>
                <w:lang w:val="en-US"/>
              </w:rPr>
              <w:t>《建设工程环境保护条例》（国务院令</w:t>
            </w:r>
            <w:r>
              <w:rPr>
                <w:rFonts w:hint="default" w:ascii="仿宋" w:eastAsia="仿宋"/>
                <w:kern w:val="2"/>
                <w:sz w:val="21"/>
                <w:szCs w:val="21"/>
                <w:lang w:val="en-US"/>
              </w:rPr>
              <w:t>253号）</w:t>
            </w:r>
          </w:p>
        </w:tc>
        <w:tc>
          <w:tcPr>
            <w:tcW w:w="1893" w:type="dxa"/>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eastAsia="仿宋"/>
                <w:kern w:val="2"/>
                <w:sz w:val="21"/>
                <w:szCs w:val="21"/>
                <w:lang w:val="en-US"/>
              </w:rPr>
            </w:pPr>
            <w:r>
              <w:rPr>
                <w:rFonts w:hint="eastAsia" w:ascii="仿宋" w:eastAsia="仿宋"/>
                <w:kern w:val="2"/>
                <w:sz w:val="21"/>
                <w:szCs w:val="21"/>
                <w:lang w:val="en-US"/>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安全</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仿宋" w:eastAsia="仿宋"/>
                <w:kern w:val="2"/>
                <w:sz w:val="21"/>
                <w:szCs w:val="21"/>
                <w:lang w:val="en-US"/>
              </w:rPr>
            </w:pPr>
            <w:r>
              <w:rPr>
                <w:rFonts w:hint="eastAsia" w:ascii="仿宋" w:eastAsia="仿宋"/>
                <w:kern w:val="2"/>
                <w:sz w:val="21"/>
                <w:szCs w:val="21"/>
                <w:lang w:val="en-US"/>
              </w:rPr>
              <w:t>生产</w:t>
            </w:r>
          </w:p>
        </w:tc>
        <w:tc>
          <w:tcPr>
            <w:tcW w:w="5670" w:type="dxa"/>
            <w:vAlign w:val="center"/>
          </w:tcPr>
          <w:p>
            <w:pPr>
              <w:keepNext w:val="0"/>
              <w:keepLines w:val="0"/>
              <w:widowControl w:val="0"/>
              <w:suppressLineNumbers w:val="0"/>
              <w:spacing w:before="0" w:beforeAutospacing="0" w:after="0" w:afterAutospacing="0" w:line="400" w:lineRule="exact"/>
              <w:ind w:left="0" w:right="0" w:firstLine="0" w:firstLineChars="0"/>
              <w:rPr>
                <w:rFonts w:hint="default" w:ascii="仿宋" w:eastAsia="仿宋"/>
                <w:kern w:val="2"/>
                <w:sz w:val="21"/>
                <w:szCs w:val="21"/>
                <w:lang w:val="en-US"/>
              </w:rPr>
            </w:pPr>
            <w:r>
              <w:rPr>
                <w:rFonts w:hint="eastAsia" w:ascii="仿宋" w:eastAsia="仿宋"/>
                <w:kern w:val="2"/>
                <w:sz w:val="21"/>
                <w:szCs w:val="21"/>
                <w:lang w:val="en-US"/>
              </w:rPr>
              <w:t>《建筑施工安全检查标准》（JGJ56-2011）</w:t>
            </w:r>
          </w:p>
          <w:p>
            <w:pPr>
              <w:keepNext w:val="0"/>
              <w:keepLines w:val="0"/>
              <w:widowControl w:val="0"/>
              <w:suppressLineNumbers w:val="0"/>
              <w:spacing w:before="0" w:beforeAutospacing="0" w:after="0" w:afterAutospacing="0" w:line="400" w:lineRule="exact"/>
              <w:ind w:left="0" w:right="0" w:firstLine="0" w:firstLineChars="0"/>
              <w:rPr>
                <w:rFonts w:hint="default" w:ascii="仿宋" w:eastAsia="仿宋"/>
                <w:kern w:val="2"/>
                <w:sz w:val="21"/>
                <w:szCs w:val="21"/>
                <w:lang w:val="en-US"/>
              </w:rPr>
            </w:pPr>
            <w:r>
              <w:rPr>
                <w:rFonts w:hint="eastAsia" w:ascii="仿宋" w:eastAsia="仿宋"/>
                <w:kern w:val="2"/>
                <w:sz w:val="21"/>
                <w:szCs w:val="21"/>
                <w:lang w:val="en-US"/>
              </w:rPr>
              <w:t>《公路工程安全施工技术规程》（JTJ076-95）</w:t>
            </w:r>
          </w:p>
          <w:p>
            <w:pPr>
              <w:keepNext w:val="0"/>
              <w:keepLines w:val="0"/>
              <w:widowControl w:val="0"/>
              <w:suppressLineNumbers w:val="0"/>
              <w:spacing w:before="0" w:beforeAutospacing="0" w:after="0" w:afterAutospacing="0" w:line="400" w:lineRule="exact"/>
              <w:ind w:left="0" w:right="0" w:firstLine="0" w:firstLineChars="0"/>
              <w:rPr>
                <w:rFonts w:hint="default" w:ascii="仿宋" w:eastAsia="仿宋"/>
                <w:kern w:val="2"/>
                <w:sz w:val="21"/>
                <w:szCs w:val="21"/>
                <w:lang w:val="en-US"/>
              </w:rPr>
            </w:pPr>
            <w:r>
              <w:rPr>
                <w:rFonts w:hint="eastAsia" w:ascii="仿宋" w:eastAsia="仿宋"/>
                <w:kern w:val="2"/>
                <w:sz w:val="21"/>
                <w:szCs w:val="21"/>
                <w:lang w:val="en-US"/>
              </w:rPr>
              <w:t>《公路项目安全性评价规范》（</w:t>
            </w:r>
            <w:r>
              <w:rPr>
                <w:rFonts w:hint="default" w:ascii="仿宋" w:eastAsia="仿宋"/>
                <w:kern w:val="2"/>
                <w:sz w:val="21"/>
                <w:szCs w:val="21"/>
                <w:lang w:val="en-US"/>
              </w:rPr>
              <w:t>JTG B05-2015）</w:t>
            </w:r>
          </w:p>
        </w:tc>
        <w:tc>
          <w:tcPr>
            <w:tcW w:w="1893" w:type="dxa"/>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eastAsia="仿宋"/>
                <w:kern w:val="2"/>
                <w:sz w:val="21"/>
                <w:szCs w:val="21"/>
                <w:lang w:val="en-US"/>
              </w:rPr>
            </w:pPr>
            <w:r>
              <w:rPr>
                <w:rFonts w:hint="eastAsia" w:ascii="仿宋" w:eastAsia="仿宋"/>
                <w:kern w:val="2"/>
                <w:sz w:val="21"/>
                <w:szCs w:val="21"/>
                <w:lang w:val="en-US"/>
              </w:rPr>
              <w:t>合格制</w:t>
            </w:r>
          </w:p>
        </w:tc>
      </w:tr>
    </w:tbl>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注:若国家、省、市出台具体考核办法，则上表与之不一致的标准，以国家、省、市出台标准为准进行微调。</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实施机构可根据实际情况对考核指标进行调整。</w:t>
      </w:r>
    </w:p>
    <w:p>
      <w:pPr>
        <w:ind w:firstLine="562"/>
        <w:jc w:val="both"/>
        <w:rPr>
          <w:rFonts w:ascii="Times New Roman" w:hAnsi="Times New Roman"/>
          <w:b/>
          <w:sz w:val="28"/>
          <w:lang w:val="en-US"/>
        </w:rPr>
      </w:pPr>
      <w:r>
        <w:rPr>
          <w:rFonts w:hint="eastAsia" w:ascii="Times New Roman" w:hAnsi="Times New Roman"/>
          <w:b/>
          <w:sz w:val="28"/>
          <w:lang w:val="en-US"/>
        </w:rPr>
        <w:t>2、运营期绩效考核指标</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本项目运营维护期的绩效考核指标如下表所述，若下述指标要求在未达成时，市交通运输局可根据PPP项目合同相关约定提取项目公司提交的运营期履约保函中的相应金额。</w:t>
      </w:r>
    </w:p>
    <w:p>
      <w:pPr>
        <w:keepNext/>
        <w:widowControl w:val="0"/>
        <w:adjustRightInd w:val="0"/>
        <w:snapToGrid w:val="0"/>
        <w:spacing w:before="156" w:beforeLines="50"/>
        <w:ind w:firstLine="0" w:firstLineChars="0"/>
        <w:jc w:val="center"/>
        <w:rPr>
          <w:rFonts w:ascii="Times New Roman" w:hAnsi="Times New Roman" w:cs="Arial"/>
          <w:b/>
          <w:bCs/>
          <w:sz w:val="28"/>
          <w:szCs w:val="32"/>
          <w:lang w:val="en-US"/>
        </w:rPr>
      </w:pPr>
      <w:r>
        <w:rPr>
          <w:rFonts w:ascii="Times New Roman" w:hAnsi="Times New Roman"/>
          <w:b/>
          <w:bCs/>
          <w:kern w:val="2"/>
          <w:sz w:val="28"/>
          <w:szCs w:val="32"/>
          <w:lang w:val="en-US"/>
        </w:rPr>
        <w:t>表</w:t>
      </w:r>
      <w:r>
        <w:rPr>
          <w:rFonts w:hint="eastAsia" w:ascii="Times New Roman" w:hAnsi="Times New Roman"/>
          <w:b/>
          <w:bCs/>
          <w:kern w:val="2"/>
          <w:sz w:val="28"/>
          <w:szCs w:val="32"/>
          <w:lang w:val="en-US" w:eastAsia="zh-CN"/>
        </w:rPr>
        <w:t>5</w:t>
      </w:r>
      <w:r>
        <w:rPr>
          <w:rFonts w:ascii="Times New Roman" w:hAnsi="Times New Roman"/>
          <w:b/>
          <w:bCs/>
          <w:kern w:val="2"/>
          <w:sz w:val="28"/>
          <w:szCs w:val="32"/>
          <w:lang w:val="en-US"/>
        </w:rPr>
        <w:t xml:space="preserve">-4  </w:t>
      </w:r>
      <w:r>
        <w:rPr>
          <w:rFonts w:hint="eastAsia" w:ascii="Times New Roman" w:hAnsi="Times New Roman"/>
          <w:b/>
          <w:bCs/>
          <w:kern w:val="2"/>
          <w:sz w:val="28"/>
          <w:szCs w:val="32"/>
          <w:lang w:val="en-US"/>
        </w:rPr>
        <w:t>运营期</w:t>
      </w:r>
      <w:r>
        <w:rPr>
          <w:rFonts w:ascii="Times New Roman" w:hAnsi="Times New Roman"/>
          <w:b/>
          <w:bCs/>
          <w:kern w:val="2"/>
          <w:sz w:val="28"/>
          <w:szCs w:val="32"/>
          <w:lang w:val="en-US"/>
        </w:rPr>
        <w:t>绩效考核指标表</w:t>
      </w:r>
    </w:p>
    <w:tbl>
      <w:tblPr>
        <w:tblStyle w:val="44"/>
        <w:tblW w:w="8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51"/>
        <w:gridCol w:w="3678"/>
        <w:gridCol w:w="683"/>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blHeader/>
        </w:trPr>
        <w:tc>
          <w:tcPr>
            <w:tcW w:w="110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b/>
                <w:color w:val="000000"/>
                <w:sz w:val="21"/>
                <w:szCs w:val="21"/>
                <w:lang w:val="en-US"/>
              </w:rPr>
            </w:pPr>
            <w:r>
              <w:rPr>
                <w:rFonts w:hint="default" w:ascii="Times New Roman" w:hAnsi="Times New Roman"/>
                <w:b/>
                <w:color w:val="000000"/>
                <w:sz w:val="21"/>
                <w:szCs w:val="21"/>
                <w:lang w:val="en-US"/>
              </w:rPr>
              <w:t>项目</w:t>
            </w: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b/>
                <w:color w:val="000000"/>
                <w:sz w:val="21"/>
                <w:szCs w:val="21"/>
                <w:lang w:val="en-US"/>
              </w:rPr>
            </w:pPr>
            <w:r>
              <w:rPr>
                <w:rFonts w:hint="default" w:ascii="Times New Roman" w:hAnsi="Times New Roman"/>
                <w:b/>
                <w:color w:val="000000"/>
                <w:sz w:val="21"/>
                <w:szCs w:val="21"/>
                <w:lang w:val="en-US"/>
              </w:rPr>
              <w:t>内容及标准</w:t>
            </w:r>
          </w:p>
        </w:tc>
        <w:tc>
          <w:tcPr>
            <w:tcW w:w="3678"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b/>
                <w:color w:val="000000"/>
                <w:sz w:val="21"/>
                <w:szCs w:val="21"/>
                <w:lang w:val="en-US"/>
              </w:rPr>
            </w:pPr>
            <w:r>
              <w:rPr>
                <w:rFonts w:hint="default" w:ascii="Times New Roman" w:hAnsi="Times New Roman"/>
                <w:b/>
                <w:color w:val="000000"/>
                <w:sz w:val="21"/>
                <w:szCs w:val="21"/>
                <w:lang w:val="en-US"/>
              </w:rPr>
              <w:t>计分标准</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b/>
                <w:color w:val="000000"/>
                <w:sz w:val="21"/>
                <w:szCs w:val="21"/>
                <w:lang w:val="en-US"/>
              </w:rPr>
            </w:pPr>
            <w:r>
              <w:rPr>
                <w:rFonts w:hint="default" w:ascii="Times New Roman" w:hAnsi="Times New Roman"/>
                <w:b/>
                <w:color w:val="000000"/>
                <w:sz w:val="21"/>
                <w:szCs w:val="21"/>
                <w:lang w:val="en-US"/>
              </w:rPr>
              <w:t>分值</w:t>
            </w:r>
          </w:p>
        </w:tc>
        <w:tc>
          <w:tcPr>
            <w:tcW w:w="1977"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b/>
                <w:color w:val="000000"/>
                <w:sz w:val="21"/>
                <w:szCs w:val="21"/>
                <w:lang w:val="en-US"/>
              </w:rPr>
            </w:pPr>
            <w:r>
              <w:rPr>
                <w:rFonts w:hint="default" w:ascii="Times New Roman" w:hAnsi="Times New Roman"/>
                <w:b/>
                <w:color w:val="000000"/>
                <w:sz w:val="21"/>
                <w:szCs w:val="21"/>
                <w:lang w:val="en-U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1101" w:type="dxa"/>
            <w:vMerge w:val="restart"/>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一级考核</w:t>
            </w:r>
          </w:p>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80分</w:t>
            </w: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路基、路面养护</w:t>
            </w:r>
          </w:p>
        </w:tc>
        <w:tc>
          <w:tcPr>
            <w:tcW w:w="3678"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1.路面完好，养护符合《公路养护技术规范》（JTG H10—2009）等技术规范要求；</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2.无坑槽、无破损、无沉陷、无拱起，无翻浆达到路面平整、稳固，保证车辆安全通行；</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3.路肩无病害、边坡稳定，排水设施无淤塞、无损坏、排水畅通，挡土墙等附属设施良好；</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5.公路养护和修复作业时要做到文明施工，完工后做到场清，料净；</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6.有突发状况及时发现、及时上报、及时处理。</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25分</w:t>
            </w:r>
          </w:p>
        </w:tc>
        <w:tc>
          <w:tcPr>
            <w:tcW w:w="1977"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1.每违反一处扣0.5分；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2.发现问题未及时整改的扣1分；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3.因质量或维护不到位造成较大损失或不良影响的，扣2分。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1101" w:type="dxa"/>
            <w:vMerge w:val="continue"/>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桥梁涵洞养护</w:t>
            </w:r>
          </w:p>
        </w:tc>
        <w:tc>
          <w:tcPr>
            <w:tcW w:w="3678"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1.桥涵外观整洁，养护符合《公路桥梁养护规范》（JTG H11-2004）等技术规范要求；</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2.桥面铺装坚实平整、横坡适度，桥头顺适，排水、伸缩缝、支座、护墙、栏杆、标线等设施齐全良好，结构无损坏，基础无冲刷、掏空。</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3.建立巡查和检查制度，准确记录和建立信息化档案；</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4.发现问题或接到报修应及时到位，及时检查和修复，无拖延和修复不符合标准要求情况。</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20分</w:t>
            </w:r>
          </w:p>
        </w:tc>
        <w:tc>
          <w:tcPr>
            <w:tcW w:w="1977"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1.每违反一处扣0.5分；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2.发现问题未及时整改的扣1分；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3.因桥涵质量或维护不到位造成较大损失或不良影响的，扣2分。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01" w:type="dxa"/>
            <w:vMerge w:val="continue"/>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绿化养护</w:t>
            </w:r>
          </w:p>
        </w:tc>
        <w:tc>
          <w:tcPr>
            <w:tcW w:w="3678"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1.苗木生长势旺盛，修剪及时，无枯枝，死树；</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2.草坪生长茂盛、整齐；无斑秃、裸露、踩踏现象；</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3.花地、花池等彩化植物色彩艳丽、整齐均匀，景观效果佳，无凹凸不平，无秃斑、杂草等现象；</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4.病虫害防治及时，园林植物无病虫的活卵、活虫。</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10分</w:t>
            </w:r>
          </w:p>
        </w:tc>
        <w:tc>
          <w:tcPr>
            <w:tcW w:w="1977"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1.每违反一处扣0.5分；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2.发现问题未及时整改的扣1分；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3.因绿化养护质量或维护不到位造成较大损失或不良影响的，扣2分。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1101" w:type="dxa"/>
            <w:vMerge w:val="continue"/>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交通工程及沿线设施</w:t>
            </w:r>
          </w:p>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tc>
        <w:tc>
          <w:tcPr>
            <w:tcW w:w="3678"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包括交通安全设施、公路机电系统（监控系统、通信系统、供配电系统）、服务设施及养护房屋等。</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1.设施符合技术规范，定期检查、维护、更新改造及检修；</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2.设施齐全完好、运转良好、无破损、符合安全标准；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3.建立有巡检制度，准确记录和掌握设施、设备状况；</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4.发现问题或接到报修应及时到位，及时检查和修复，无拖延和修复不符合标准要求情况。</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10分</w:t>
            </w:r>
          </w:p>
        </w:tc>
        <w:tc>
          <w:tcPr>
            <w:tcW w:w="1977"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1.每违反一处扣0.5分；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2.发现问题未及时整改的扣1分；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3.因附属施设质量、维护或运行问题造成较大损失或不良影响的，扣2分。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1101" w:type="dxa"/>
            <w:vMerge w:val="continue"/>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eastAsia" w:ascii="Times New Roman" w:hAnsi="Times New Roman"/>
                <w:color w:val="000000"/>
                <w:sz w:val="21"/>
                <w:szCs w:val="21"/>
                <w:lang w:val="en-US"/>
              </w:rPr>
              <w:t>人行道</w:t>
            </w:r>
          </w:p>
        </w:tc>
        <w:tc>
          <w:tcPr>
            <w:tcW w:w="3678"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w:t>
            </w:r>
            <w:r>
              <w:rPr>
                <w:rFonts w:hint="eastAsia" w:ascii="Times New Roman" w:hAnsi="Times New Roman"/>
                <w:color w:val="000000"/>
                <w:sz w:val="21"/>
                <w:szCs w:val="21"/>
                <w:lang w:val="en-US"/>
              </w:rPr>
              <w:t>人行道</w:t>
            </w:r>
            <w:r>
              <w:rPr>
                <w:rFonts w:hint="default" w:ascii="Times New Roman" w:hAnsi="Times New Roman"/>
                <w:color w:val="000000"/>
                <w:sz w:val="21"/>
                <w:szCs w:val="21"/>
                <w:lang w:val="en-US"/>
              </w:rPr>
              <w:t>完好，养护符合《</w:t>
            </w:r>
            <w:r>
              <w:rPr>
                <w:rFonts w:hint="eastAsia" w:ascii="Times New Roman" w:hAnsi="Times New Roman"/>
                <w:color w:val="000000"/>
                <w:sz w:val="21"/>
                <w:szCs w:val="21"/>
                <w:lang w:val="en-US"/>
              </w:rPr>
              <w:t>城镇道路养护技术规范</w:t>
            </w:r>
            <w:r>
              <w:rPr>
                <w:rFonts w:hint="default" w:ascii="Times New Roman" w:hAnsi="Times New Roman"/>
                <w:color w:val="000000"/>
                <w:sz w:val="21"/>
                <w:szCs w:val="21"/>
                <w:lang w:val="en-US"/>
              </w:rPr>
              <w:t>》（CJJ 36-2006）等技术规范要求；</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w:t>
            </w:r>
            <w:r>
              <w:rPr>
                <w:rFonts w:hint="eastAsia" w:ascii="Times New Roman" w:hAnsi="Times New Roman"/>
                <w:color w:val="000000"/>
                <w:sz w:val="21"/>
                <w:szCs w:val="21"/>
                <w:lang w:val="en-US"/>
              </w:rPr>
              <w:t>表面平整，无积水，砌块无松动、残缺，相邻块高差符合要求</w:t>
            </w:r>
            <w:r>
              <w:rPr>
                <w:rFonts w:hint="default" w:ascii="Times New Roman" w:hAnsi="Times New Roman"/>
                <w:color w:val="000000"/>
                <w:sz w:val="21"/>
                <w:szCs w:val="21"/>
                <w:lang w:val="en-US"/>
              </w:rPr>
              <w:t>；</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w:t>
            </w:r>
            <w:r>
              <w:rPr>
                <w:rFonts w:hint="eastAsia" w:ascii="Times New Roman" w:hAnsi="Times New Roman"/>
                <w:color w:val="000000"/>
                <w:sz w:val="21"/>
                <w:szCs w:val="21"/>
                <w:lang w:val="en-US"/>
              </w:rPr>
              <w:t>缘石、踏步稳定牢固，不得缺失</w:t>
            </w:r>
            <w:r>
              <w:rPr>
                <w:rFonts w:hint="default" w:ascii="Times New Roman" w:hAnsi="Times New Roman"/>
                <w:color w:val="000000"/>
                <w:sz w:val="21"/>
                <w:szCs w:val="21"/>
                <w:lang w:val="en-US"/>
              </w:rPr>
              <w:t>；</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4.</w:t>
            </w:r>
            <w:r>
              <w:rPr>
                <w:rFonts w:hint="eastAsia" w:ascii="Times New Roman" w:hAnsi="Times New Roman"/>
                <w:color w:val="000000"/>
                <w:sz w:val="21"/>
                <w:szCs w:val="21"/>
                <w:lang w:val="en-US"/>
              </w:rPr>
              <w:t>人行道上检查井不得凸起、沉陷，检查井盖不得缺失</w:t>
            </w:r>
            <w:r>
              <w:rPr>
                <w:rFonts w:hint="default" w:ascii="Times New Roman" w:hAnsi="Times New Roman"/>
                <w:color w:val="000000"/>
                <w:sz w:val="21"/>
                <w:szCs w:val="21"/>
                <w:lang w:val="en-US"/>
              </w:rPr>
              <w:t>；</w:t>
            </w:r>
          </w:p>
          <w:p>
            <w:pPr>
              <w:pStyle w:val="2"/>
              <w:keepNext w:val="0"/>
              <w:keepLines w:val="0"/>
              <w:suppressLineNumbers w:val="0"/>
              <w:spacing w:before="0" w:beforeAutospacing="0" w:afterAutospacing="0" w:line="240" w:lineRule="auto"/>
              <w:ind w:left="0" w:right="0" w:firstLine="0" w:firstLineChars="0"/>
              <w:rPr>
                <w:rFonts w:hint="eastAsia" w:ascii="Times New Roman" w:hAnsi="Times New Roman"/>
                <w:color w:val="000000"/>
                <w:sz w:val="21"/>
                <w:szCs w:val="21"/>
                <w:lang w:val="en-US" w:eastAsia="zh-CN"/>
              </w:rPr>
            </w:pPr>
            <w:r>
              <w:rPr>
                <w:rFonts w:hint="default" w:ascii="Times New Roman" w:hAnsi="Times New Roman"/>
                <w:color w:val="000000"/>
                <w:sz w:val="21"/>
                <w:szCs w:val="21"/>
                <w:lang w:val="en-US" w:eastAsia="zh-CN"/>
              </w:rPr>
              <w:t>5.</w:t>
            </w:r>
            <w:r>
              <w:rPr>
                <w:rFonts w:hint="eastAsia" w:ascii="Times New Roman" w:hAnsi="Times New Roman"/>
                <w:color w:val="000000"/>
                <w:sz w:val="21"/>
                <w:szCs w:val="21"/>
                <w:lang w:val="en-US" w:eastAsia="zh-CN"/>
              </w:rPr>
              <w:t xml:space="preserve"> 盲道上的导向砖、止步砖位置应安装正确；</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6.有突发状况及时发现、及时上报、及时处理。</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eastAsia" w:ascii="Times New Roman" w:hAnsi="Times New Roman"/>
                <w:color w:val="000000"/>
                <w:sz w:val="21"/>
                <w:szCs w:val="21"/>
                <w:lang w:val="en-US"/>
              </w:rPr>
              <w:t>5分</w:t>
            </w:r>
          </w:p>
        </w:tc>
        <w:tc>
          <w:tcPr>
            <w:tcW w:w="1977"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1.每违反一处扣0.5分；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2.发现问题未及时整改的扣1分；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3.因质量或维护不到位造成较大损失或不良影响的，扣2分。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1101" w:type="dxa"/>
            <w:vMerge w:val="continue"/>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eastAsia" w:ascii="Times New Roman" w:hAnsi="Times New Roman"/>
                <w:color w:val="000000"/>
                <w:sz w:val="21"/>
                <w:szCs w:val="21"/>
                <w:lang w:val="en-US"/>
              </w:rPr>
            </w:pPr>
            <w:r>
              <w:rPr>
                <w:rFonts w:hint="eastAsia" w:ascii="Times New Roman" w:hAnsi="Times New Roman"/>
                <w:color w:val="000000"/>
                <w:sz w:val="21"/>
                <w:szCs w:val="21"/>
                <w:lang w:val="en-US"/>
              </w:rPr>
              <w:t>自行车道</w:t>
            </w:r>
          </w:p>
        </w:tc>
        <w:tc>
          <w:tcPr>
            <w:tcW w:w="3678"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w:t>
            </w:r>
            <w:r>
              <w:rPr>
                <w:rFonts w:hint="eastAsia" w:ascii="Times New Roman" w:hAnsi="Times New Roman"/>
                <w:color w:val="000000"/>
                <w:sz w:val="21"/>
                <w:szCs w:val="21"/>
                <w:lang w:val="en-US"/>
              </w:rPr>
              <w:t>自行车道</w:t>
            </w:r>
            <w:r>
              <w:rPr>
                <w:rFonts w:hint="default" w:ascii="Times New Roman" w:hAnsi="Times New Roman"/>
                <w:color w:val="000000"/>
                <w:sz w:val="21"/>
                <w:szCs w:val="21"/>
                <w:lang w:val="en-US"/>
              </w:rPr>
              <w:t>完好，养护符合《</w:t>
            </w:r>
            <w:r>
              <w:rPr>
                <w:rFonts w:hint="eastAsia" w:ascii="Times New Roman" w:hAnsi="Times New Roman"/>
                <w:color w:val="000000"/>
                <w:sz w:val="21"/>
                <w:szCs w:val="21"/>
                <w:lang w:val="en-US"/>
              </w:rPr>
              <w:t>城镇道路养护技术规范</w:t>
            </w:r>
            <w:r>
              <w:rPr>
                <w:rFonts w:hint="default" w:ascii="Times New Roman" w:hAnsi="Times New Roman"/>
                <w:color w:val="000000"/>
                <w:sz w:val="21"/>
                <w:szCs w:val="21"/>
                <w:lang w:val="en-US"/>
              </w:rPr>
              <w:t>》（CJJ 36-2006）等技术规范要求；</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w:t>
            </w:r>
            <w:r>
              <w:rPr>
                <w:rFonts w:hint="eastAsia" w:ascii="Times New Roman" w:hAnsi="Times New Roman"/>
                <w:color w:val="000000"/>
                <w:sz w:val="21"/>
                <w:szCs w:val="21"/>
                <w:lang w:val="en-US"/>
              </w:rPr>
              <w:t>路面无裂缝、松散、坑槽、拥包、啃边等病害</w:t>
            </w:r>
            <w:r>
              <w:rPr>
                <w:rFonts w:hint="default" w:ascii="Times New Roman" w:hAnsi="Times New Roman"/>
                <w:color w:val="000000"/>
                <w:sz w:val="21"/>
                <w:szCs w:val="21"/>
                <w:lang w:val="en-US"/>
              </w:rPr>
              <w:t>；</w:t>
            </w:r>
          </w:p>
          <w:p>
            <w:pPr>
              <w:pStyle w:val="2"/>
              <w:keepNext w:val="0"/>
              <w:keepLines w:val="0"/>
              <w:suppressLineNumbers w:val="0"/>
              <w:spacing w:before="0" w:beforeAutospacing="0" w:afterAutospacing="0"/>
              <w:ind w:left="0" w:right="0" w:firstLine="0" w:firstLineChars="0"/>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3</w:t>
            </w:r>
            <w:r>
              <w:rPr>
                <w:rFonts w:hint="default" w:ascii="Times New Roman" w:hAnsi="Times New Roman"/>
                <w:color w:val="000000"/>
                <w:sz w:val="21"/>
                <w:szCs w:val="21"/>
                <w:lang w:val="en-US" w:eastAsia="zh-CN"/>
              </w:rPr>
              <w:t>.</w:t>
            </w:r>
            <w:r>
              <w:rPr>
                <w:rFonts w:hint="eastAsia" w:ascii="Times New Roman" w:hAnsi="Times New Roman"/>
                <w:color w:val="000000"/>
                <w:sz w:val="21"/>
                <w:szCs w:val="21"/>
                <w:lang w:val="en-US" w:eastAsia="zh-CN"/>
              </w:rPr>
              <w:t>沥青路面面层不得采用水泥混凝土进行修补；</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4.有突发状况及时发现、及时上报、及时处理。</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eastAsia" w:ascii="Times New Roman" w:hAnsi="Times New Roman"/>
                <w:color w:val="000000"/>
                <w:sz w:val="21"/>
                <w:szCs w:val="21"/>
                <w:lang w:val="en-US"/>
              </w:rPr>
            </w:pPr>
            <w:r>
              <w:rPr>
                <w:rFonts w:hint="eastAsia" w:ascii="Times New Roman" w:hAnsi="Times New Roman"/>
                <w:color w:val="000000"/>
                <w:sz w:val="21"/>
                <w:szCs w:val="21"/>
                <w:lang w:val="en-US"/>
              </w:rPr>
              <w:t>5分</w:t>
            </w:r>
          </w:p>
        </w:tc>
        <w:tc>
          <w:tcPr>
            <w:tcW w:w="1977"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1.每违反一处扣0.5分；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2.发现问题未及时整改的扣1分；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3.因质量或维护不到位造成较大损失或不良影响的，扣2分。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1101" w:type="dxa"/>
            <w:vMerge w:val="continue"/>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eastAsia" w:ascii="Times New Roman" w:hAnsi="Times New Roman"/>
                <w:color w:val="000000"/>
                <w:sz w:val="21"/>
                <w:szCs w:val="21"/>
                <w:lang w:val="en-US"/>
              </w:rPr>
            </w:pPr>
            <w:r>
              <w:rPr>
                <w:rFonts w:hint="eastAsia" w:ascii="Times New Roman" w:hAnsi="Times New Roman"/>
                <w:color w:val="000000"/>
                <w:sz w:val="21"/>
                <w:szCs w:val="21"/>
                <w:lang w:val="en-US"/>
              </w:rPr>
              <w:t>停车场和</w:t>
            </w:r>
            <w:r>
              <w:rPr>
                <w:rFonts w:hint="default" w:ascii="Times New Roman" w:hAnsi="Times New Roman"/>
                <w:color w:val="000000"/>
                <w:sz w:val="21"/>
                <w:szCs w:val="21"/>
                <w:lang w:val="en-US"/>
              </w:rPr>
              <w:t>观景平台</w:t>
            </w:r>
          </w:p>
        </w:tc>
        <w:tc>
          <w:tcPr>
            <w:tcW w:w="3678"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w:t>
            </w:r>
            <w:r>
              <w:rPr>
                <w:rFonts w:hint="eastAsia" w:ascii="Times New Roman" w:hAnsi="Times New Roman"/>
                <w:color w:val="000000"/>
                <w:sz w:val="21"/>
                <w:szCs w:val="21"/>
                <w:lang w:val="en-US"/>
              </w:rPr>
              <w:t>场地</w:t>
            </w:r>
            <w:r>
              <w:rPr>
                <w:rFonts w:hint="default" w:ascii="Times New Roman" w:hAnsi="Times New Roman"/>
                <w:color w:val="000000"/>
                <w:sz w:val="21"/>
                <w:szCs w:val="21"/>
                <w:lang w:val="en-US"/>
              </w:rPr>
              <w:t>完好，养护符合《</w:t>
            </w:r>
            <w:r>
              <w:rPr>
                <w:rFonts w:hint="eastAsia" w:ascii="Times New Roman" w:hAnsi="Times New Roman"/>
                <w:color w:val="000000"/>
                <w:sz w:val="21"/>
                <w:szCs w:val="21"/>
                <w:lang w:val="en-US"/>
              </w:rPr>
              <w:t>城镇道路养护技术规范</w:t>
            </w:r>
            <w:r>
              <w:rPr>
                <w:rFonts w:hint="default" w:ascii="Times New Roman" w:hAnsi="Times New Roman"/>
                <w:color w:val="000000"/>
                <w:sz w:val="21"/>
                <w:szCs w:val="21"/>
                <w:lang w:val="en-US"/>
              </w:rPr>
              <w:t>》（CJJ 36-2006）等技术规范要求；</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w:t>
            </w:r>
            <w:r>
              <w:rPr>
                <w:rFonts w:hint="eastAsia" w:ascii="Times New Roman" w:hAnsi="Times New Roman"/>
                <w:color w:val="000000"/>
                <w:sz w:val="21"/>
                <w:szCs w:val="21"/>
                <w:lang w:val="en-US"/>
              </w:rPr>
              <w:t>周期性的灌缝</w:t>
            </w:r>
            <w:r>
              <w:rPr>
                <w:rFonts w:hint="default" w:ascii="Times New Roman" w:hAnsi="Times New Roman"/>
                <w:color w:val="000000"/>
                <w:sz w:val="21"/>
                <w:szCs w:val="21"/>
                <w:lang w:val="en-US"/>
              </w:rPr>
              <w:t>；</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w:t>
            </w:r>
            <w:r>
              <w:rPr>
                <w:rFonts w:hint="eastAsia" w:ascii="Times New Roman" w:hAnsi="Times New Roman"/>
                <w:color w:val="000000"/>
                <w:sz w:val="21"/>
                <w:szCs w:val="21"/>
                <w:lang w:val="en-US"/>
              </w:rPr>
              <w:t>对场地发生的病害及时进行处理</w:t>
            </w:r>
            <w:r>
              <w:rPr>
                <w:rFonts w:hint="default" w:ascii="Times New Roman" w:hAnsi="Times New Roman"/>
                <w:color w:val="000000"/>
                <w:sz w:val="21"/>
                <w:szCs w:val="21"/>
                <w:lang w:val="en-US"/>
              </w:rPr>
              <w:t>；</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4.</w:t>
            </w:r>
            <w:r>
              <w:rPr>
                <w:rFonts w:hint="eastAsia" w:ascii="Times New Roman" w:hAnsi="Times New Roman"/>
                <w:color w:val="000000"/>
                <w:sz w:val="21"/>
                <w:szCs w:val="21"/>
                <w:lang w:val="en-US"/>
              </w:rPr>
              <w:t>经常清除泥土、石块、砂砾等杂物，严禁在场地上拌合砂浆或混凝土等作业</w:t>
            </w:r>
            <w:r>
              <w:rPr>
                <w:rFonts w:hint="default" w:ascii="Times New Roman" w:hAnsi="Times New Roman"/>
                <w:color w:val="000000"/>
                <w:sz w:val="21"/>
                <w:szCs w:val="21"/>
                <w:lang w:val="en-US"/>
              </w:rPr>
              <w:t>；</w:t>
            </w:r>
          </w:p>
          <w:p>
            <w:pPr>
              <w:pStyle w:val="2"/>
              <w:keepNext w:val="0"/>
              <w:keepLines w:val="0"/>
              <w:suppressLineNumbers w:val="0"/>
              <w:spacing w:before="0" w:beforeAutospacing="0" w:afterAutospacing="0" w:line="240" w:lineRule="auto"/>
              <w:ind w:left="0" w:right="0" w:firstLine="0" w:firstLineChars="0"/>
              <w:rPr>
                <w:rFonts w:hint="eastAsia" w:ascii="Times New Roman" w:hAnsi="Times New Roman"/>
                <w:color w:val="000000"/>
                <w:sz w:val="21"/>
                <w:szCs w:val="21"/>
                <w:lang w:val="en-US" w:eastAsia="zh-CN"/>
              </w:rPr>
            </w:pPr>
            <w:r>
              <w:rPr>
                <w:rFonts w:hint="default" w:ascii="Times New Roman" w:hAnsi="Times New Roman"/>
                <w:color w:val="000000"/>
                <w:sz w:val="21"/>
                <w:szCs w:val="21"/>
                <w:lang w:val="en-US" w:eastAsia="zh-CN"/>
              </w:rPr>
              <w:t>5.</w:t>
            </w:r>
            <w:r>
              <w:rPr>
                <w:rFonts w:hint="eastAsia" w:ascii="Times New Roman" w:hAnsi="Times New Roman"/>
                <w:color w:val="000000"/>
                <w:sz w:val="21"/>
                <w:szCs w:val="21"/>
                <w:lang w:val="en-US" w:eastAsia="zh-CN"/>
              </w:rPr>
              <w:t>对有化学制剂或油污污染的水泥混凝土场地应及时清洗；</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6.有突发状况及时发现、及时上报、及时处理。</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eastAsia" w:ascii="Times New Roman" w:hAnsi="Times New Roman"/>
                <w:color w:val="000000"/>
                <w:sz w:val="21"/>
                <w:szCs w:val="21"/>
                <w:lang w:val="en-US"/>
              </w:rPr>
              <w:t>5分</w:t>
            </w:r>
          </w:p>
        </w:tc>
        <w:tc>
          <w:tcPr>
            <w:tcW w:w="1977"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1.每违反一处扣0.5分；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2.发现问题未及时整改的扣1分；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3.因质量或维护不到位造成较大损失或不良影响的，扣2分。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1101" w:type="dxa"/>
            <w:vMerge w:val="restart"/>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二级考核</w:t>
            </w:r>
          </w:p>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20分</w:t>
            </w:r>
          </w:p>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安全管理和突发事件管理</w:t>
            </w:r>
          </w:p>
        </w:tc>
        <w:tc>
          <w:tcPr>
            <w:tcW w:w="3678"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1.建立有安全管理和突发事件应急预案；</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2.对突发事件及时发现、及时上报、及时处理；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3.制定具体抢险或维修施工方案，出现险情能够按照方案及时进行抢修抢险处置；</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4.突发事件现场应立即设置警示标志和围挡设施。</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5分</w:t>
            </w:r>
          </w:p>
        </w:tc>
        <w:tc>
          <w:tcPr>
            <w:tcW w:w="1977"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1.每违反一处扣0.5分；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2.发现问题未及时整改的扣1分；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3.因安全或突发事件处理不当造成较大损失或不良影响的，扣2分。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1101" w:type="dxa"/>
            <w:vMerge w:val="continue"/>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环境保护</w:t>
            </w:r>
          </w:p>
        </w:tc>
        <w:tc>
          <w:tcPr>
            <w:tcW w:w="3678"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符合环保法规定，环保验收合格，无环保投诉现象。</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5分</w:t>
            </w:r>
          </w:p>
        </w:tc>
        <w:tc>
          <w:tcPr>
            <w:tcW w:w="1977"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1.被投诉一次扣0.5分；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2.环保不合格不得分。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1101" w:type="dxa"/>
            <w:vMerge w:val="continue"/>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基础工作</w:t>
            </w:r>
          </w:p>
        </w:tc>
        <w:tc>
          <w:tcPr>
            <w:tcW w:w="3678"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1.有固定办公场所，组织机构合理；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2.企业规章制度健全，建立有建筑物及附属设施、公共设施、道路、绿化、保洁、安全等管理制度；</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3.企业各项档案管理规范，基础数据完备，信息上报及时。</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5分</w:t>
            </w:r>
          </w:p>
        </w:tc>
        <w:tc>
          <w:tcPr>
            <w:tcW w:w="1977"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1.每违反一处扣0.5分；</w:t>
            </w:r>
          </w:p>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2.发现问题未及时整改的扣1分。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1101" w:type="dxa"/>
            <w:vMerge w:val="continue"/>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p>
        </w:tc>
        <w:tc>
          <w:tcPr>
            <w:tcW w:w="1451"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利益相关者满意度</w:t>
            </w:r>
          </w:p>
        </w:tc>
        <w:tc>
          <w:tcPr>
            <w:tcW w:w="3678"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聘请第三方机构对本项目公路、设施使用者及道路周边居民、企业进行公共调查，满意度需在70%以上。</w:t>
            </w:r>
          </w:p>
        </w:tc>
        <w:tc>
          <w:tcPr>
            <w:tcW w:w="683" w:type="dxa"/>
            <w:vAlign w:val="center"/>
          </w:tcPr>
          <w:p>
            <w:pPr>
              <w:keepNext w:val="0"/>
              <w:keepLines w:val="0"/>
              <w:suppressLineNumbers w:val="0"/>
              <w:spacing w:before="0" w:beforeAutospacing="0" w:after="0" w:afterAutospacing="0" w:line="240" w:lineRule="auto"/>
              <w:ind w:left="0" w:right="0" w:firstLine="0" w:firstLineChars="0"/>
              <w:jc w:val="center"/>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5分</w:t>
            </w:r>
          </w:p>
        </w:tc>
        <w:tc>
          <w:tcPr>
            <w:tcW w:w="1977" w:type="dxa"/>
            <w:vAlign w:val="center"/>
          </w:tcPr>
          <w:p>
            <w:pPr>
              <w:keepNext w:val="0"/>
              <w:keepLines w:val="0"/>
              <w:suppressLineNumbers w:val="0"/>
              <w:spacing w:before="0" w:beforeAutospacing="0" w:after="0" w:afterAutospacing="0" w:line="240" w:lineRule="auto"/>
              <w:ind w:left="0" w:right="0" w:firstLine="0" w:firstLineChars="0"/>
              <w:textAlignment w:val="center"/>
              <w:rPr>
                <w:rFonts w:hint="default" w:ascii="Times New Roman" w:hAnsi="Times New Roman"/>
                <w:color w:val="000000"/>
                <w:sz w:val="21"/>
                <w:szCs w:val="21"/>
                <w:lang w:val="en-US"/>
              </w:rPr>
            </w:pPr>
            <w:r>
              <w:rPr>
                <w:rFonts w:hint="default" w:ascii="Times New Roman" w:hAnsi="Times New Roman"/>
                <w:color w:val="000000"/>
                <w:sz w:val="21"/>
                <w:szCs w:val="21"/>
                <w:lang w:val="en-US"/>
              </w:rPr>
              <w:t>满意度90%（含）得5分；满意度80%-90%得4分；满意度70%-80%得3分；低于70%不得分。</w:t>
            </w:r>
          </w:p>
        </w:tc>
      </w:tr>
    </w:tbl>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本考核方案由市交通运输局负责制定和解释，并根据需要修改和补充。</w:t>
      </w:r>
      <w:bookmarkStart w:id="96" w:name="_Toc504637100"/>
      <w:bookmarkStart w:id="97" w:name="_Toc494205072"/>
    </w:p>
    <w:p>
      <w:pPr>
        <w:jc w:val="both"/>
        <w:rPr>
          <w:rFonts w:ascii="Times New Roman"/>
        </w:rPr>
      </w:pPr>
      <w:r>
        <w:rPr>
          <w:rFonts w:hint="eastAsia" w:ascii="Times New Roman"/>
          <w:lang w:val="en-US" w:eastAsia="zh-CN"/>
        </w:rPr>
        <w:t>5</w:t>
      </w:r>
      <w:r>
        <w:rPr>
          <w:rFonts w:ascii="Times New Roman"/>
        </w:rPr>
        <w:t>.</w:t>
      </w:r>
      <w:r>
        <w:rPr>
          <w:rFonts w:hint="eastAsia" w:ascii="Times New Roman"/>
          <w:lang w:val="en-US" w:eastAsia="zh-CN"/>
        </w:rPr>
        <w:t>4</w:t>
      </w:r>
      <w:r>
        <w:rPr>
          <w:rFonts w:ascii="Times New Roman"/>
        </w:rPr>
        <w:t>.3 考核费用支付</w:t>
      </w:r>
      <w:bookmarkEnd w:id="96"/>
      <w:bookmarkEnd w:id="97"/>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因本项目绩效考核的需要而产生的直接费用或委托第三方机构的费用，由政府方承担。</w:t>
      </w:r>
      <w:bookmarkStart w:id="98" w:name="_Toc504637101"/>
    </w:p>
    <w:p>
      <w:pPr>
        <w:jc w:val="both"/>
        <w:rPr>
          <w:rFonts w:ascii="Times New Roman"/>
        </w:rPr>
      </w:pPr>
      <w:r>
        <w:rPr>
          <w:rFonts w:hint="eastAsia" w:ascii="Times New Roman"/>
          <w:lang w:val="en-US" w:eastAsia="zh-CN"/>
        </w:rPr>
        <w:t>5</w:t>
      </w:r>
      <w:r>
        <w:rPr>
          <w:rFonts w:ascii="Times New Roman"/>
        </w:rPr>
        <w:t>.</w:t>
      </w:r>
      <w:r>
        <w:rPr>
          <w:rFonts w:hint="eastAsia" w:ascii="Times New Roman"/>
          <w:lang w:val="en-US" w:eastAsia="zh-CN"/>
        </w:rPr>
        <w:t>5</w:t>
      </w:r>
      <w:r>
        <w:rPr>
          <w:rFonts w:ascii="Times New Roman"/>
        </w:rPr>
        <w:t xml:space="preserve"> PPP项目合同</w:t>
      </w:r>
      <w:bookmarkEnd w:id="98"/>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PPP项目合同是在政府方与项目公司之间明确项目的合作方式、合作范围、以及双方在项目中具体的权利义务以及救济方式等，以确保项目全生命周期内的顺利实施。</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参考财政部《PPP项目合同指南（试行）》（财金〔2014〕156号），本项目的PPP项目合同主要条款如下：</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TOC \o "1-1" \h \u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_Toc31369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定义和解释</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（2）前期工作及投融资</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（3）</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_Toc14542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经营权和合作期</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（4）</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_Toc6234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声明和保证</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（5）</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_Toc29149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双方的一般权利和义务</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（6）</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_Toc9425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项目工程用地</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（7）</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_Toc30851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项目建设</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（8）</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_Toc9435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运营维护</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（9）</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_Toc3406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保险和履约保函</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（10）</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_Toc18931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服务费</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（11）</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_Toc17221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开票和付款</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（12）</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_Toc25263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项目移交</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（13）</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_Toc29028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不可抗力</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（14）</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_Toc21902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合同的变更和提前终止</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（15）</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_Toc26668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转让和担保</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（16）</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_Toc2260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补偿</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（17）</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_Toc2457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违约赔偿</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（18）</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_Toc23807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争议的解决</w:t>
      </w:r>
      <w:r>
        <w:rPr>
          <w:rFonts w:hint="eastAsia" w:ascii="Times New Roman" w:hAnsi="Times New Roman"/>
          <w:sz w:val="24"/>
          <w:szCs w:val="24"/>
          <w:lang w:val="en-US"/>
        </w:rPr>
        <w:fldChar w:fldCharType="end"/>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（19）</w:t>
      </w:r>
      <w:r>
        <w:rPr>
          <w:rFonts w:hint="eastAsia" w:ascii="Times New Roman" w:hAnsi="Times New Roman"/>
          <w:sz w:val="24"/>
          <w:szCs w:val="24"/>
          <w:lang w:val="en-US"/>
        </w:rPr>
        <w:fldChar w:fldCharType="begin"/>
      </w:r>
      <w:r>
        <w:rPr>
          <w:rFonts w:hint="eastAsia" w:ascii="Times New Roman" w:hAnsi="Times New Roman"/>
          <w:sz w:val="24"/>
          <w:szCs w:val="24"/>
          <w:lang w:val="en-US"/>
        </w:rPr>
        <w:instrText xml:space="preserve"> HYPERLINK \l _Toc4752 </w:instrText>
      </w:r>
      <w:r>
        <w:rPr>
          <w:rFonts w:hint="eastAsia" w:ascii="Times New Roman" w:hAnsi="Times New Roman"/>
          <w:sz w:val="24"/>
          <w:szCs w:val="24"/>
          <w:lang w:val="en-US"/>
        </w:rPr>
        <w:fldChar w:fldCharType="separate"/>
      </w:r>
      <w:r>
        <w:rPr>
          <w:rFonts w:hint="eastAsia" w:ascii="Times New Roman" w:hAnsi="Times New Roman"/>
          <w:sz w:val="24"/>
          <w:szCs w:val="24"/>
          <w:lang w:val="en-US"/>
        </w:rPr>
        <w:t>其他</w:t>
      </w:r>
      <w:r>
        <w:rPr>
          <w:rFonts w:hint="eastAsia" w:ascii="Times New Roman" w:hAnsi="Times New Roman"/>
          <w:sz w:val="24"/>
          <w:szCs w:val="24"/>
          <w:lang w:val="en-US"/>
        </w:rPr>
        <w:fldChar w:fldCharType="end"/>
      </w:r>
    </w:p>
    <w:p>
      <w:pPr>
        <w:ind w:firstLine="482" w:firstLineChars="0"/>
        <w:rPr>
          <w:rFonts w:ascii="Times New Roman"/>
        </w:rPr>
      </w:pPr>
      <w:r>
        <w:rPr>
          <w:rFonts w:hint="eastAsia" w:ascii="Times New Roman" w:hAnsi="Times New Roman"/>
          <w:sz w:val="24"/>
          <w:szCs w:val="24"/>
          <w:lang w:val="en-US"/>
        </w:rPr>
        <w:fldChar w:fldCharType="end"/>
      </w:r>
      <w:r>
        <w:rPr>
          <w:rFonts w:hint="eastAsia" w:ascii="Times New Roman"/>
          <w:lang w:val="en-US" w:eastAsia="zh-CN"/>
        </w:rPr>
        <w:t>5</w:t>
      </w:r>
      <w:r>
        <w:rPr>
          <w:rFonts w:ascii="Times New Roman"/>
        </w:rPr>
        <w:t>.</w:t>
      </w:r>
      <w:r>
        <w:rPr>
          <w:rFonts w:hint="eastAsia" w:ascii="Times New Roman"/>
          <w:lang w:val="en-US" w:eastAsia="zh-CN"/>
        </w:rPr>
        <w:t>6</w:t>
      </w:r>
      <w:r>
        <w:rPr>
          <w:rFonts w:ascii="Times New Roman"/>
        </w:rPr>
        <w:t>保险</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项目公司应根据谨慎运营惯例购买必要的建设期及运营期保险，包括但不限于建筑（安装）工程一切险、财产一切险、第三者责任险，公众责任险、环境责任险等其它通常的、合理的或者中国法律、法规要求所必需的保险。</w:t>
      </w:r>
      <w:bookmarkStart w:id="99" w:name="_Toc504637102"/>
    </w:p>
    <w:p>
      <w:pPr>
        <w:ind w:firstLine="482" w:firstLineChars="0"/>
        <w:rPr>
          <w:rFonts w:hint="eastAsia" w:ascii="Times New Roman" w:hAnsi="Times New Roman"/>
          <w:sz w:val="24"/>
          <w:szCs w:val="24"/>
        </w:rPr>
      </w:pPr>
      <w:r>
        <w:rPr>
          <w:rFonts w:hint="eastAsia" w:ascii="Times New Roman" w:hAnsi="Times New Roman"/>
          <w:sz w:val="24"/>
          <w:szCs w:val="24"/>
          <w:lang w:val="en-US" w:eastAsia="zh-CN"/>
        </w:rPr>
        <w:t>5</w:t>
      </w:r>
      <w:r>
        <w:rPr>
          <w:rFonts w:hint="eastAsia" w:ascii="Times New Roman" w:hAnsi="Times New Roman"/>
          <w:sz w:val="24"/>
          <w:szCs w:val="24"/>
        </w:rPr>
        <w:t>.</w:t>
      </w:r>
      <w:r>
        <w:rPr>
          <w:rFonts w:hint="eastAsia" w:ascii="Times New Roman" w:hAnsi="Times New Roman"/>
          <w:sz w:val="24"/>
          <w:szCs w:val="24"/>
          <w:lang w:val="en-US" w:eastAsia="zh-CN"/>
        </w:rPr>
        <w:t>7</w:t>
      </w:r>
      <w:r>
        <w:rPr>
          <w:rFonts w:hint="eastAsia" w:ascii="Times New Roman" w:hAnsi="Times New Roman"/>
          <w:sz w:val="24"/>
          <w:szCs w:val="24"/>
        </w:rPr>
        <w:t>退出机制</w:t>
      </w:r>
      <w:bookmarkEnd w:id="99"/>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1、退出渠道：依托各类产权、股权交易市场，为社会资本提供多元化、规范化、市场化的退出渠道。</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2、项目接管：在实施过程中，如遇不可抗力或违约事件导致项目提前终止时，由项目实施机构或市政府指定机构及时做好接管，保障项目设施持续运行，保证公共利益不受侵害。</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项目公司在项目期限内有约定的违约情形的，实施机构根据适用法律，责令限期改正；拒不改正、情节严重的，经报市政府批准，可以实施临时接管，并收回经营权、终止PPP项目合同。项目公司应当予以配合，并同时依法承担相应赔偿责任。</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项目公司应当按规定的时间将中长期发展规划、年度经营计划、年度报告、董事会决议等报实施机构备案。实施机构应当定期对项目公司建设运营情况进行检查监督，并对运营成本和收益进行核算。</w:t>
      </w:r>
    </w:p>
    <w:p>
      <w:pPr>
        <w:ind w:firstLine="482" w:firstLineChars="0"/>
        <w:rPr>
          <w:rFonts w:hint="eastAsia" w:ascii="Times New Roman" w:hAnsi="Times New Roman"/>
          <w:sz w:val="21"/>
          <w:szCs w:val="21"/>
          <w:lang w:val="en-US"/>
        </w:rPr>
      </w:pPr>
      <w:r>
        <w:rPr>
          <w:rFonts w:hint="eastAsia" w:ascii="Times New Roman" w:hAnsi="Times New Roman"/>
          <w:sz w:val="24"/>
          <w:szCs w:val="24"/>
          <w:lang w:val="en-US"/>
        </w:rPr>
        <w:t>除适用法律另有规定或PPP项目合同另有约定外，合同各当事人在项目期限内不得单方提出解除合同。出现法律法规规定或合同约定的情形，PPP项目合同确需提前终止的，合同任何一方均有权依法或依约定要求赔偿</w:t>
      </w:r>
      <w:r>
        <w:rPr>
          <w:rFonts w:hint="eastAsia" w:ascii="Times New Roman" w:hAnsi="Times New Roman"/>
          <w:sz w:val="21"/>
          <w:szCs w:val="21"/>
          <w:lang w:val="en-US"/>
        </w:rPr>
        <w:t>。</w:t>
      </w:r>
      <w:bookmarkStart w:id="100" w:name="_Toc504637103"/>
    </w:p>
    <w:p>
      <w:pPr>
        <w:ind w:firstLine="482" w:firstLineChars="0"/>
        <w:rPr>
          <w:rFonts w:ascii="Times New Roman"/>
        </w:rPr>
      </w:pPr>
      <w:r>
        <w:rPr>
          <w:rFonts w:hint="eastAsia" w:ascii="Times New Roman"/>
          <w:lang w:val="en-US" w:eastAsia="zh-CN"/>
        </w:rPr>
        <w:t>5.8</w:t>
      </w:r>
      <w:r>
        <w:rPr>
          <w:rFonts w:hint="eastAsia" w:ascii="Times New Roman" w:hAnsi="Times New Roman" w:eastAsia="宋体" w:cstheme="minorBidi"/>
          <w:b w:val="0"/>
          <w:bCs w:val="0"/>
          <w:kern w:val="2"/>
          <w:sz w:val="24"/>
          <w:szCs w:val="24"/>
          <w:lang w:val="en-US" w:eastAsia="zh-CN" w:bidi="ar-SA"/>
        </w:rPr>
        <w:t>政府</w:t>
      </w:r>
      <w:r>
        <w:rPr>
          <w:rFonts w:ascii="Times New Roman"/>
          <w:b w:val="0"/>
          <w:bCs w:val="0"/>
        </w:rPr>
        <w:t>承诺与保障</w:t>
      </w:r>
      <w:bookmarkEnd w:id="100"/>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为了优选社会资本，使项目公司顺利完成建设、运营和移交拟建项目，同时充分维护公共利益，市政府作出以下承诺和保障：</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1、采购过程中平等对待所有社会资本</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市政府对某一社会资本在本项目采购中披露的信息，应同时告知其他社会资本，对某一社会资本作出的承诺，同时适应于其他社会资本。</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2、提供良好的建设、运营环境</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积极协调工程建设进程中出现的属于地方政府政策和环境支持等问题，为项目公司提供良好的投资、建设和运营环境。</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（1）协助项目公司协调其与相关政府部门的关系，以便推进项目建设环节各项行政审批手续的申报和审批工作。</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（2）积极配合项目公司，宣传项目建设的意义和建设进程，营造良好的舆论环境。</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（3）负责完成项目征地拆迁工作（相关费用由项目公司承担，计入项目建设费用）。</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（4）协助协调供电、通信、供水、排水等项目配套设施，并与本项目的建设进度及年度计划安排相匹配。</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（5）在项目建设运营过程中做好群众工作，协助解决项目建设过程中的阻挠施工现象，保障项目顺利实施。</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（6）积极为项目公司协调办理项目相关批复和土地使用证、房屋设施规划及房产证等有关证明。</w:t>
      </w:r>
    </w:p>
    <w:p>
      <w:pPr>
        <w:ind w:firstLine="482" w:firstLineChars="0"/>
        <w:rPr>
          <w:rFonts w:hint="eastAsia" w:ascii="Times New Roman" w:hAnsi="Times New Roman"/>
          <w:sz w:val="24"/>
          <w:szCs w:val="24"/>
          <w:lang w:val="en-US" w:eastAsia="zh-CN"/>
        </w:rPr>
      </w:pPr>
      <w:r>
        <w:rPr>
          <w:rFonts w:hint="eastAsia" w:ascii="Times New Roman" w:hAnsi="Times New Roman"/>
          <w:sz w:val="24"/>
          <w:szCs w:val="24"/>
          <w:lang w:val="en-US" w:eastAsia="zh-CN"/>
        </w:rPr>
        <w:t>（7）不要求项目公司承担或支付国家、省和辖区境内地方政府法规以外的其他义务和费用。</w:t>
      </w:r>
    </w:p>
    <w:p>
      <w:pPr>
        <w:ind w:left="0" w:leftChars="0" w:firstLine="0" w:firstLineChars="0"/>
      </w:pPr>
      <w:r>
        <w:rPr>
          <w:rFonts w:hint="eastAsia"/>
          <w:b/>
          <w:bCs/>
        </w:rPr>
        <w:t>六、</w:t>
      </w:r>
      <w:r>
        <w:rPr>
          <w:rFonts w:hint="eastAsia"/>
          <w:b/>
          <w:bCs/>
          <w:lang w:val="en-US" w:eastAsia="zh-CN"/>
        </w:rPr>
        <w:t>监管</w:t>
      </w:r>
      <w:r>
        <w:rPr>
          <w:rFonts w:hint="eastAsia"/>
          <w:b/>
          <w:bCs/>
        </w:rPr>
        <w:t>架构</w:t>
      </w:r>
      <w:bookmarkEnd w:id="79"/>
    </w:p>
    <w:p>
      <w:pPr>
        <w:pageBreakBefore w:val="0"/>
        <w:kinsoku/>
        <w:bidi w:val="0"/>
        <w:spacing w:line="360" w:lineRule="auto"/>
        <w:ind w:firstLine="480"/>
        <w:textAlignment w:val="auto"/>
      </w:pPr>
      <w:r>
        <w:rPr>
          <w:rFonts w:hint="eastAsia"/>
        </w:rPr>
        <w:t>6.1</w:t>
      </w:r>
      <w:r>
        <w:rPr>
          <w:rFonts w:hint="eastAsia"/>
        </w:rPr>
        <w:tab/>
      </w:r>
      <w:r>
        <w:rPr>
          <w:rFonts w:hint="eastAsia"/>
        </w:rPr>
        <w:t>授权关系</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eastAsia="zh-CN"/>
        </w:rPr>
        <w:t>登封市人民政府</w:t>
      </w:r>
      <w:r>
        <w:rPr>
          <w:rFonts w:hint="eastAsia" w:ascii="Times New Roman" w:hAnsi="Times New Roman"/>
          <w:sz w:val="24"/>
          <w:szCs w:val="24"/>
          <w:lang w:val="en-US"/>
        </w:rPr>
        <w:t>授权</w:t>
      </w:r>
      <w:r>
        <w:rPr>
          <w:rFonts w:hint="eastAsia" w:ascii="Times New Roman" w:hAnsi="Times New Roman"/>
          <w:sz w:val="24"/>
          <w:szCs w:val="24"/>
          <w:lang w:val="en-US" w:eastAsia="zh-CN"/>
        </w:rPr>
        <w:t>登封市交通运输局</w:t>
      </w:r>
      <w:r>
        <w:rPr>
          <w:rFonts w:hint="eastAsia" w:ascii="Times New Roman" w:hAnsi="Times New Roman"/>
          <w:sz w:val="24"/>
          <w:szCs w:val="24"/>
          <w:lang w:val="en-US"/>
        </w:rPr>
        <w:t>（简称“市交通运输局”）作为项目实施机构，具体负责本项目组织实施和各项具体工作的安排。</w:t>
      </w:r>
    </w:p>
    <w:p>
      <w:pPr>
        <w:pageBreakBefore w:val="0"/>
        <w:kinsoku/>
        <w:bidi w:val="0"/>
        <w:spacing w:line="360" w:lineRule="auto"/>
        <w:ind w:firstLine="480"/>
        <w:textAlignment w:val="auto"/>
      </w:pPr>
      <w:r>
        <w:rPr>
          <w:rFonts w:hint="eastAsia"/>
        </w:rPr>
        <w:t>6.2</w:t>
      </w:r>
      <w:r>
        <w:rPr>
          <w:rFonts w:hint="eastAsia"/>
        </w:rPr>
        <w:tab/>
      </w:r>
      <w:r>
        <w:rPr>
          <w:rFonts w:hint="eastAsia"/>
        </w:rPr>
        <w:t>监管方式</w:t>
      </w:r>
    </w:p>
    <w:p>
      <w:pPr>
        <w:pageBreakBefore w:val="0"/>
        <w:kinsoku/>
        <w:bidi w:val="0"/>
        <w:spacing w:line="360" w:lineRule="auto"/>
        <w:ind w:firstLine="480"/>
        <w:textAlignment w:val="auto"/>
      </w:pPr>
      <w:r>
        <w:rPr>
          <w:rFonts w:hint="eastAsia"/>
        </w:rPr>
        <w:t>6.2.1</w:t>
      </w:r>
      <w:r>
        <w:rPr>
          <w:rFonts w:hint="eastAsia"/>
        </w:rPr>
        <w:tab/>
      </w:r>
      <w:r>
        <w:rPr>
          <w:rFonts w:hint="eastAsia"/>
        </w:rPr>
        <w:t>履约监管</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项目实施机构或政府指定的其他机构对项目公司在经营期内的合同履行情况进行监督管理，定期对项目公司经营情况进行评估和考核。</w:t>
      </w:r>
    </w:p>
    <w:p>
      <w:pPr>
        <w:pageBreakBefore w:val="0"/>
        <w:kinsoku/>
        <w:bidi w:val="0"/>
        <w:spacing w:line="360" w:lineRule="auto"/>
        <w:ind w:firstLine="480"/>
        <w:textAlignment w:val="auto"/>
      </w:pPr>
      <w:r>
        <w:rPr>
          <w:rFonts w:hint="eastAsia"/>
        </w:rPr>
        <w:t>6.2.2</w:t>
      </w:r>
      <w:r>
        <w:rPr>
          <w:rFonts w:hint="eastAsia"/>
        </w:rPr>
        <w:tab/>
      </w:r>
      <w:r>
        <w:rPr>
          <w:rFonts w:hint="eastAsia"/>
        </w:rPr>
        <w:t>行政监管</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政府相关职能部门应根据国家相关法律法规对项目履行行政监管职责，重点关注公共产品和服务质量、价格和收费机制、安全生产、环境保护和劳动者权益等；</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沿线公路管理部门根据国家法律法规对项目履行行政监督职责，主要对本项目的运营维护和路政管理等进行监管。</w:t>
      </w:r>
    </w:p>
    <w:p>
      <w:pPr>
        <w:pageBreakBefore w:val="0"/>
        <w:kinsoku/>
        <w:bidi w:val="0"/>
        <w:spacing w:line="360" w:lineRule="auto"/>
        <w:ind w:firstLine="480"/>
        <w:textAlignment w:val="auto"/>
      </w:pPr>
      <w:r>
        <w:rPr>
          <w:rFonts w:hint="eastAsia"/>
        </w:rPr>
        <w:t>6.2.3</w:t>
      </w:r>
      <w:r>
        <w:rPr>
          <w:rFonts w:hint="eastAsia"/>
        </w:rPr>
        <w:tab/>
      </w:r>
      <w:r>
        <w:rPr>
          <w:rFonts w:hint="eastAsia"/>
        </w:rPr>
        <w:t>公众监管</w:t>
      </w:r>
    </w:p>
    <w:p>
      <w:pPr>
        <w:ind w:firstLine="482" w:firstLineChars="0"/>
        <w:rPr>
          <w:rFonts w:hint="eastAsia" w:ascii="Times New Roman" w:hAnsi="Times New Roman"/>
          <w:sz w:val="24"/>
          <w:szCs w:val="24"/>
          <w:lang w:val="en-US"/>
        </w:rPr>
      </w:pPr>
      <w:r>
        <w:rPr>
          <w:rFonts w:hint="eastAsia" w:ascii="Times New Roman" w:hAnsi="Times New Roman"/>
          <w:sz w:val="24"/>
          <w:szCs w:val="24"/>
          <w:lang w:val="en-US"/>
        </w:rPr>
        <w:t>社会公众有权对本项目的经营活动进行监督，向有关监管部门投诉，或者向项目公司提出意见建议。项目公司应按照适用法律要求，建立公众监督机制，依法公开披露相关信息，接受社会监督。</w:t>
      </w:r>
    </w:p>
    <w:p>
      <w:pPr>
        <w:pStyle w:val="58"/>
        <w:pageBreakBefore w:val="0"/>
        <w:numPr>
          <w:ilvl w:val="0"/>
          <w:numId w:val="0"/>
        </w:numPr>
        <w:kinsoku/>
        <w:bidi w:val="0"/>
        <w:spacing w:line="360" w:lineRule="auto"/>
        <w:ind w:left="576"/>
        <w:jc w:val="center"/>
        <w:textAlignment w:val="auto"/>
      </w:pPr>
      <w:bookmarkStart w:id="101" w:name="_Toc437271285"/>
      <w:r>
        <w:rPr>
          <w:rFonts w:hint="eastAsia"/>
        </w:rPr>
        <w:t>七、</w:t>
      </w:r>
      <w:r>
        <w:rPr>
          <w:rFonts w:hint="eastAsia"/>
        </w:rPr>
        <w:tab/>
      </w:r>
      <w:r>
        <w:rPr>
          <w:rFonts w:hint="eastAsia"/>
        </w:rPr>
        <w:t>附件</w:t>
      </w:r>
      <w:bookmarkEnd w:id="101"/>
    </w:p>
    <w:p>
      <w:pPr>
        <w:pStyle w:val="59"/>
        <w:keepNext w:val="0"/>
        <w:pageBreakBefore w:val="0"/>
        <w:numPr>
          <w:ilvl w:val="2"/>
          <w:numId w:val="0"/>
        </w:numPr>
        <w:kinsoku/>
        <w:bidi w:val="0"/>
        <w:spacing w:line="360" w:lineRule="auto"/>
        <w:ind w:leftChars="0"/>
        <w:textAlignment w:val="auto"/>
      </w:pPr>
      <w:r>
        <w:rPr>
          <w:rFonts w:hint="eastAsia"/>
        </w:rPr>
        <w:t>项目采购须具备条件</w:t>
      </w:r>
    </w:p>
    <w:p>
      <w:pPr>
        <w:pStyle w:val="61"/>
        <w:keepNext w:val="0"/>
        <w:pageBreakBefore w:val="0"/>
        <w:numPr>
          <w:ilvl w:val="3"/>
          <w:numId w:val="0"/>
        </w:numPr>
        <w:kinsoku/>
        <w:bidi w:val="0"/>
        <w:spacing w:line="360" w:lineRule="auto"/>
        <w:ind w:leftChars="0"/>
        <w:textAlignment w:val="auto"/>
        <w:rPr>
          <w:rFonts w:hint="eastAsia"/>
          <w:lang w:eastAsia="zh-CN"/>
        </w:rPr>
      </w:pPr>
      <w:r>
        <w:rPr>
          <w:rFonts w:hint="eastAsia"/>
          <w:lang w:val="en-US" w:eastAsia="zh-CN"/>
        </w:rPr>
        <w:t>1.1</w:t>
      </w:r>
      <w:r>
        <w:rPr>
          <w:rFonts w:hint="eastAsia"/>
        </w:rPr>
        <w:t>财政部门</w:t>
      </w:r>
      <w:r>
        <w:rPr>
          <w:rFonts w:hint="eastAsia"/>
          <w:lang w:val="en-US" w:eastAsia="zh-CN"/>
        </w:rPr>
        <w:t>批复</w:t>
      </w:r>
      <w:r>
        <w:rPr>
          <w:rFonts w:hint="eastAsia"/>
        </w:rPr>
        <w:t>意见</w:t>
      </w:r>
      <w:r>
        <w:rPr>
          <w:rFonts w:hint="eastAsia"/>
          <w:lang w:eastAsia="zh-CN"/>
        </w:rPr>
        <w:t>；</w:t>
      </w:r>
    </w:p>
    <w:p>
      <w:pPr>
        <w:pStyle w:val="61"/>
        <w:keepNext w:val="0"/>
        <w:pageBreakBefore w:val="0"/>
        <w:numPr>
          <w:ilvl w:val="3"/>
          <w:numId w:val="0"/>
        </w:numPr>
        <w:kinsoku/>
        <w:bidi w:val="0"/>
        <w:spacing w:line="360" w:lineRule="auto"/>
        <w:ind w:leftChars="0"/>
        <w:textAlignment w:val="auto"/>
        <w:rPr>
          <w:rFonts w:hint="eastAsia"/>
          <w:lang w:val="en-US" w:eastAsia="zh-CN"/>
        </w:rPr>
      </w:pPr>
      <w:r>
        <w:rPr>
          <w:rFonts w:hint="eastAsia"/>
          <w:lang w:val="en-US" w:eastAsia="zh-CN"/>
        </w:rPr>
        <w:t>1.2市政府实施机构授权；</w:t>
      </w:r>
    </w:p>
    <w:p>
      <w:pPr>
        <w:pStyle w:val="61"/>
        <w:keepNext w:val="0"/>
        <w:pageBreakBefore w:val="0"/>
        <w:numPr>
          <w:ilvl w:val="3"/>
          <w:numId w:val="0"/>
        </w:numPr>
        <w:kinsoku/>
        <w:bidi w:val="0"/>
        <w:spacing w:line="360" w:lineRule="auto"/>
        <w:ind w:leftChars="0"/>
        <w:textAlignment w:val="auto"/>
      </w:pPr>
      <w:r>
        <w:rPr>
          <w:rFonts w:hint="eastAsia"/>
          <w:lang w:val="en-US" w:eastAsia="zh-CN"/>
        </w:rPr>
        <w:t>1.3</w:t>
      </w:r>
      <w:r>
        <w:rPr>
          <w:rFonts w:hint="eastAsia"/>
        </w:rPr>
        <w:t>其它相关审批文件。</w:t>
      </w:r>
      <w:r>
        <w:br w:type="page"/>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Style w:val="2"/>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Style w:val="7"/>
        <w:pageBreakBefore w:val="0"/>
        <w:kinsoku/>
        <w:bidi w:val="0"/>
        <w:spacing w:line="360" w:lineRule="auto"/>
        <w:textAlignment w:val="auto"/>
      </w:pPr>
      <w:bookmarkStart w:id="102" w:name="_Toc437271286"/>
      <w:r>
        <w:rPr>
          <w:rFonts w:hint="eastAsia"/>
        </w:rPr>
        <w:t>评审方法</w:t>
      </w:r>
      <w:bookmarkEnd w:id="102"/>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r>
        <w:br w:type="page"/>
      </w:r>
    </w:p>
    <w:p>
      <w:pPr>
        <w:pStyle w:val="58"/>
        <w:pageBreakBefore w:val="0"/>
        <w:numPr>
          <w:ilvl w:val="0"/>
          <w:numId w:val="0"/>
        </w:numPr>
        <w:kinsoku/>
        <w:bidi w:val="0"/>
        <w:spacing w:line="360" w:lineRule="auto"/>
        <w:jc w:val="center"/>
        <w:textAlignment w:val="auto"/>
      </w:pPr>
      <w:bookmarkStart w:id="103" w:name="_Toc437271287"/>
      <w:r>
        <w:rPr>
          <w:rFonts w:hint="eastAsia"/>
        </w:rPr>
        <w:t>评审方法前附表</w:t>
      </w:r>
      <w:bookmarkEnd w:id="103"/>
    </w:p>
    <w:tbl>
      <w:tblPr>
        <w:tblStyle w:val="44"/>
        <w:tblW w:w="8740" w:type="dxa"/>
        <w:jc w:val="center"/>
        <w:tblInd w:w="0" w:type="dxa"/>
        <w:tblLayout w:type="fixed"/>
        <w:tblCellMar>
          <w:top w:w="0" w:type="dxa"/>
          <w:left w:w="10" w:type="dxa"/>
          <w:bottom w:w="0" w:type="dxa"/>
          <w:right w:w="10" w:type="dxa"/>
        </w:tblCellMar>
      </w:tblPr>
      <w:tblGrid>
        <w:gridCol w:w="980"/>
        <w:gridCol w:w="1464"/>
        <w:gridCol w:w="2196"/>
        <w:gridCol w:w="4100"/>
      </w:tblGrid>
      <w:tr>
        <w:tblPrEx>
          <w:tblLayout w:type="fixed"/>
          <w:tblCellMar>
            <w:top w:w="0" w:type="dxa"/>
            <w:left w:w="10" w:type="dxa"/>
            <w:bottom w:w="0" w:type="dxa"/>
            <w:right w:w="10" w:type="dxa"/>
          </w:tblCellMar>
        </w:tblPrEx>
        <w:trPr>
          <w:trHeight w:val="676" w:hRule="exact"/>
          <w:tblHeader/>
          <w:jc w:val="center"/>
        </w:trPr>
        <w:tc>
          <w:tcPr>
            <w:tcW w:w="2444" w:type="dxa"/>
            <w:gridSpan w:val="2"/>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b/>
                <w:sz w:val="21"/>
                <w:szCs w:val="21"/>
              </w:rPr>
            </w:pPr>
            <w:r>
              <w:rPr>
                <w:rFonts w:hint="eastAsia" w:asciiTheme="minorEastAsia" w:hAnsiTheme="minorEastAsia"/>
                <w:b/>
                <w:sz w:val="21"/>
                <w:szCs w:val="21"/>
              </w:rPr>
              <w:t>条款号</w:t>
            </w:r>
          </w:p>
        </w:tc>
        <w:tc>
          <w:tcPr>
            <w:tcW w:w="2196" w:type="dxa"/>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b/>
                <w:sz w:val="21"/>
                <w:szCs w:val="21"/>
              </w:rPr>
            </w:pPr>
            <w:r>
              <w:rPr>
                <w:rFonts w:hint="eastAsia" w:asciiTheme="minorEastAsia" w:hAnsiTheme="minorEastAsia"/>
                <w:b/>
                <w:sz w:val="21"/>
                <w:szCs w:val="21"/>
              </w:rPr>
              <w:t>评审因素</w:t>
            </w:r>
          </w:p>
        </w:tc>
        <w:tc>
          <w:tcPr>
            <w:tcW w:w="410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b/>
                <w:sz w:val="21"/>
                <w:szCs w:val="21"/>
              </w:rPr>
            </w:pPr>
            <w:r>
              <w:rPr>
                <w:rFonts w:hint="eastAsia" w:asciiTheme="minorEastAsia" w:hAnsiTheme="minorEastAsia"/>
                <w:b/>
                <w:sz w:val="21"/>
                <w:szCs w:val="21"/>
              </w:rPr>
              <w:t>评审标准</w:t>
            </w:r>
          </w:p>
        </w:tc>
      </w:tr>
      <w:tr>
        <w:tblPrEx>
          <w:tblLayout w:type="fixed"/>
          <w:tblCellMar>
            <w:top w:w="0" w:type="dxa"/>
            <w:left w:w="10" w:type="dxa"/>
            <w:bottom w:w="0" w:type="dxa"/>
            <w:right w:w="10" w:type="dxa"/>
          </w:tblCellMar>
        </w:tblPrEx>
        <w:trPr>
          <w:trHeight w:val="1019" w:hRule="exact"/>
          <w:jc w:val="center"/>
        </w:trPr>
        <w:tc>
          <w:tcPr>
            <w:tcW w:w="980" w:type="dxa"/>
            <w:vMerge w:val="restart"/>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3.1</w:t>
            </w:r>
          </w:p>
        </w:tc>
        <w:tc>
          <w:tcPr>
            <w:tcW w:w="1464" w:type="dxa"/>
            <w:vMerge w:val="restart"/>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形式评审标准</w:t>
            </w:r>
          </w:p>
        </w:tc>
        <w:tc>
          <w:tcPr>
            <w:tcW w:w="2196" w:type="dxa"/>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投标函签字盖章</w:t>
            </w:r>
          </w:p>
        </w:tc>
        <w:tc>
          <w:tcPr>
            <w:tcW w:w="410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240" w:lineRule="auto"/>
              <w:ind w:left="0" w:right="0" w:firstLine="420"/>
              <w:jc w:val="center"/>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有法定代表人或其委托代理人签字并加盖单位章</w:t>
            </w:r>
          </w:p>
        </w:tc>
      </w:tr>
      <w:tr>
        <w:tblPrEx>
          <w:tblLayout w:type="fixed"/>
          <w:tblCellMar>
            <w:top w:w="0" w:type="dxa"/>
            <w:left w:w="10" w:type="dxa"/>
            <w:bottom w:w="0" w:type="dxa"/>
            <w:right w:w="10" w:type="dxa"/>
          </w:tblCellMar>
        </w:tblPrEx>
        <w:trPr>
          <w:trHeight w:val="730" w:hRule="exact"/>
          <w:jc w:val="center"/>
        </w:trPr>
        <w:tc>
          <w:tcPr>
            <w:tcW w:w="980"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p>
        </w:tc>
        <w:tc>
          <w:tcPr>
            <w:tcW w:w="1464"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p>
        </w:tc>
        <w:tc>
          <w:tcPr>
            <w:tcW w:w="2196" w:type="dxa"/>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投标文件格式</w:t>
            </w:r>
          </w:p>
        </w:tc>
        <w:tc>
          <w:tcPr>
            <w:tcW w:w="410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符合第</w:t>
            </w:r>
            <w:r>
              <w:rPr>
                <w:rFonts w:hint="eastAsia" w:ascii="Arial" w:hAnsi="Arial" w:eastAsia="宋体" w:cstheme="majorBidi"/>
                <w:bCs/>
                <w:kern w:val="2"/>
                <w:sz w:val="21"/>
                <w:szCs w:val="22"/>
                <w:lang w:val="en-US" w:eastAsia="zh-CN" w:bidi="ar-SA"/>
              </w:rPr>
              <w:t>六</w:t>
            </w:r>
            <w:r>
              <w:rPr>
                <w:rFonts w:hint="default" w:ascii="Arial" w:hAnsi="Arial" w:eastAsia="宋体" w:cstheme="majorBidi"/>
                <w:bCs/>
                <w:kern w:val="2"/>
                <w:sz w:val="21"/>
                <w:szCs w:val="22"/>
                <w:lang w:val="en-US" w:eastAsia="zh-CN" w:bidi="ar-SA"/>
              </w:rPr>
              <w:t>章</w:t>
            </w:r>
            <w:r>
              <w:rPr>
                <w:rFonts w:hint="eastAsia" w:ascii="Arial" w:hAnsi="Arial" w:eastAsia="宋体" w:cstheme="majorBidi"/>
                <w:bCs/>
                <w:kern w:val="2"/>
                <w:sz w:val="21"/>
                <w:szCs w:val="22"/>
                <w:lang w:val="en-US" w:eastAsia="zh-CN" w:bidi="ar-SA"/>
              </w:rPr>
              <w:t>“</w:t>
            </w:r>
            <w:r>
              <w:rPr>
                <w:rFonts w:hint="default" w:ascii="Arial" w:hAnsi="Arial" w:eastAsia="宋体" w:cstheme="majorBidi"/>
                <w:bCs/>
                <w:kern w:val="2"/>
                <w:sz w:val="21"/>
                <w:szCs w:val="22"/>
                <w:lang w:val="en-US" w:eastAsia="zh-CN" w:bidi="ar-SA"/>
              </w:rPr>
              <w:t>投标文件格式</w:t>
            </w:r>
            <w:r>
              <w:rPr>
                <w:rFonts w:hint="eastAsia" w:ascii="Arial" w:hAnsi="Arial" w:eastAsia="宋体" w:cstheme="majorBidi"/>
                <w:bCs/>
                <w:kern w:val="2"/>
                <w:sz w:val="21"/>
                <w:szCs w:val="22"/>
                <w:lang w:val="en-US" w:eastAsia="zh-CN" w:bidi="ar-SA"/>
              </w:rPr>
              <w:t>”</w:t>
            </w:r>
            <w:r>
              <w:rPr>
                <w:rFonts w:hint="default" w:ascii="Arial" w:hAnsi="Arial" w:eastAsia="宋体" w:cstheme="majorBidi"/>
                <w:bCs/>
                <w:kern w:val="2"/>
                <w:sz w:val="21"/>
                <w:szCs w:val="22"/>
                <w:lang w:val="en-US" w:eastAsia="zh-CN" w:bidi="ar-SA"/>
              </w:rPr>
              <w:t>的要求</w:t>
            </w:r>
          </w:p>
        </w:tc>
      </w:tr>
      <w:tr>
        <w:tblPrEx>
          <w:tblLayout w:type="fixed"/>
          <w:tblCellMar>
            <w:top w:w="0" w:type="dxa"/>
            <w:left w:w="10" w:type="dxa"/>
            <w:bottom w:w="0" w:type="dxa"/>
            <w:right w:w="10" w:type="dxa"/>
          </w:tblCellMar>
        </w:tblPrEx>
        <w:trPr>
          <w:trHeight w:val="667" w:hRule="exact"/>
          <w:jc w:val="center"/>
        </w:trPr>
        <w:tc>
          <w:tcPr>
            <w:tcW w:w="980"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p>
        </w:tc>
        <w:tc>
          <w:tcPr>
            <w:tcW w:w="1464"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p>
        </w:tc>
        <w:tc>
          <w:tcPr>
            <w:tcW w:w="2196" w:type="dxa"/>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cstheme="majorBidi"/>
                <w:bCs/>
                <w:kern w:val="2"/>
                <w:sz w:val="21"/>
                <w:szCs w:val="22"/>
                <w:lang w:val="en-US" w:eastAsia="zh-CN" w:bidi="ar-SA"/>
              </w:rPr>
              <w:t>投标保证金</w:t>
            </w:r>
          </w:p>
        </w:tc>
        <w:tc>
          <w:tcPr>
            <w:tcW w:w="410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符合</w:t>
            </w:r>
            <w:r>
              <w:rPr>
                <w:rFonts w:hint="eastAsia" w:cstheme="majorBidi"/>
                <w:bCs/>
                <w:kern w:val="2"/>
                <w:sz w:val="21"/>
                <w:szCs w:val="22"/>
                <w:lang w:val="en-US" w:eastAsia="zh-CN" w:bidi="ar-SA"/>
              </w:rPr>
              <w:t>第二章3.7.1款</w:t>
            </w:r>
            <w:r>
              <w:rPr>
                <w:rFonts w:hint="eastAsia" w:ascii="Arial" w:hAnsi="Arial" w:eastAsia="宋体" w:cstheme="majorBidi"/>
                <w:bCs/>
                <w:kern w:val="2"/>
                <w:sz w:val="21"/>
                <w:szCs w:val="22"/>
                <w:lang w:val="en-US" w:eastAsia="zh-CN" w:bidi="ar-SA"/>
              </w:rPr>
              <w:t>的</w:t>
            </w:r>
            <w:r>
              <w:rPr>
                <w:rFonts w:hint="default" w:ascii="Arial" w:hAnsi="Arial" w:eastAsia="宋体" w:cstheme="majorBidi"/>
                <w:bCs/>
                <w:kern w:val="2"/>
                <w:sz w:val="21"/>
                <w:szCs w:val="22"/>
                <w:lang w:val="en-US" w:eastAsia="zh-CN" w:bidi="ar-SA"/>
              </w:rPr>
              <w:t>要求</w:t>
            </w:r>
          </w:p>
        </w:tc>
      </w:tr>
      <w:tr>
        <w:tblPrEx>
          <w:tblLayout w:type="fixed"/>
          <w:tblCellMar>
            <w:top w:w="0" w:type="dxa"/>
            <w:left w:w="10" w:type="dxa"/>
            <w:bottom w:w="0" w:type="dxa"/>
            <w:right w:w="10" w:type="dxa"/>
          </w:tblCellMar>
        </w:tblPrEx>
        <w:trPr>
          <w:trHeight w:val="645" w:hRule="exact"/>
          <w:jc w:val="center"/>
        </w:trPr>
        <w:tc>
          <w:tcPr>
            <w:tcW w:w="980"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p>
        </w:tc>
        <w:tc>
          <w:tcPr>
            <w:tcW w:w="1464"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p>
        </w:tc>
        <w:tc>
          <w:tcPr>
            <w:tcW w:w="2196" w:type="dxa"/>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报价唯一</w:t>
            </w:r>
          </w:p>
        </w:tc>
        <w:tc>
          <w:tcPr>
            <w:tcW w:w="410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只能有一个有效报价</w:t>
            </w:r>
          </w:p>
        </w:tc>
      </w:tr>
      <w:tr>
        <w:tblPrEx>
          <w:tblLayout w:type="fixed"/>
          <w:tblCellMar>
            <w:top w:w="0" w:type="dxa"/>
            <w:left w:w="10" w:type="dxa"/>
            <w:bottom w:w="0" w:type="dxa"/>
            <w:right w:w="10" w:type="dxa"/>
          </w:tblCellMar>
        </w:tblPrEx>
        <w:trPr>
          <w:trHeight w:val="739" w:hRule="exact"/>
          <w:jc w:val="center"/>
        </w:trPr>
        <w:tc>
          <w:tcPr>
            <w:tcW w:w="980" w:type="dxa"/>
            <w:vMerge w:val="continue"/>
            <w:tcBorders>
              <w:left w:val="single" w:color="auto" w:sz="4" w:space="0"/>
              <w:bottom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p>
        </w:tc>
        <w:tc>
          <w:tcPr>
            <w:tcW w:w="1464" w:type="dxa"/>
            <w:vMerge w:val="continue"/>
            <w:tcBorders>
              <w:left w:val="single" w:color="auto" w:sz="4" w:space="0"/>
              <w:bottom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p>
        </w:tc>
        <w:tc>
          <w:tcPr>
            <w:tcW w:w="219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投标文件份数</w:t>
            </w:r>
          </w:p>
        </w:tc>
        <w:tc>
          <w:tcPr>
            <w:tcW w:w="410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壹正陆副（电子文档2份U盘）</w:t>
            </w:r>
          </w:p>
        </w:tc>
      </w:tr>
      <w:tr>
        <w:tblPrEx>
          <w:tblLayout w:type="fixed"/>
          <w:tblCellMar>
            <w:top w:w="0" w:type="dxa"/>
            <w:left w:w="10" w:type="dxa"/>
            <w:bottom w:w="0" w:type="dxa"/>
            <w:right w:w="10" w:type="dxa"/>
          </w:tblCellMar>
        </w:tblPrEx>
        <w:trPr>
          <w:trHeight w:val="2961"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3.2</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资格性检查评审标准</w:t>
            </w:r>
          </w:p>
        </w:tc>
        <w:tc>
          <w:tcPr>
            <w:tcW w:w="219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符合第二章“投标人须知”第1.4.1项规定</w:t>
            </w:r>
          </w:p>
        </w:tc>
        <w:tc>
          <w:tcPr>
            <w:tcW w:w="41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7"/>
              <w:keepNext w:val="0"/>
              <w:keepLines w:val="0"/>
              <w:pageBreakBefore w:val="0"/>
              <w:suppressLineNumbers w:val="0"/>
              <w:kinsoku/>
              <w:bidi w:val="0"/>
              <w:spacing w:before="156" w:beforeLines="50" w:beforeAutospacing="0" w:after="156" w:afterLines="50" w:afterAutospacing="0" w:line="360" w:lineRule="auto"/>
              <w:ind w:left="0" w:right="0" w:firstLine="0" w:firstLineChars="0"/>
              <w:jc w:val="left"/>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参加本项目的资格预审并接到采购人发出的“采购邀请书”的投标人具备投标资格，可不再进行资格审查，直接进入下一步评审。</w:t>
            </w:r>
          </w:p>
        </w:tc>
      </w:tr>
      <w:tr>
        <w:tblPrEx>
          <w:tblLayout w:type="fixed"/>
          <w:tblCellMar>
            <w:top w:w="0" w:type="dxa"/>
            <w:left w:w="10" w:type="dxa"/>
            <w:bottom w:w="0" w:type="dxa"/>
            <w:right w:w="10" w:type="dxa"/>
          </w:tblCellMar>
        </w:tblPrEx>
        <w:trPr>
          <w:trHeight w:val="885" w:hRule="exact"/>
          <w:jc w:val="center"/>
        </w:trPr>
        <w:tc>
          <w:tcPr>
            <w:tcW w:w="980" w:type="dxa"/>
            <w:vMerge w:val="restart"/>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3.3</w:t>
            </w:r>
          </w:p>
        </w:tc>
        <w:tc>
          <w:tcPr>
            <w:tcW w:w="1464" w:type="dxa"/>
            <w:vMerge w:val="restart"/>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符合性检查评审标准</w:t>
            </w:r>
          </w:p>
        </w:tc>
        <w:tc>
          <w:tcPr>
            <w:tcW w:w="2196" w:type="dxa"/>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文件签署</w:t>
            </w:r>
          </w:p>
        </w:tc>
        <w:tc>
          <w:tcPr>
            <w:tcW w:w="410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符合采购文件的要求</w:t>
            </w:r>
          </w:p>
        </w:tc>
      </w:tr>
      <w:tr>
        <w:tblPrEx>
          <w:tblLayout w:type="fixed"/>
          <w:tblCellMar>
            <w:top w:w="0" w:type="dxa"/>
            <w:left w:w="10" w:type="dxa"/>
            <w:bottom w:w="0" w:type="dxa"/>
            <w:right w:w="10" w:type="dxa"/>
          </w:tblCellMar>
        </w:tblPrEx>
        <w:trPr>
          <w:trHeight w:val="859" w:hRule="exact"/>
          <w:jc w:val="center"/>
        </w:trPr>
        <w:tc>
          <w:tcPr>
            <w:tcW w:w="980"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p>
        </w:tc>
        <w:tc>
          <w:tcPr>
            <w:tcW w:w="1464"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p>
        </w:tc>
        <w:tc>
          <w:tcPr>
            <w:tcW w:w="2196" w:type="dxa"/>
            <w:tcBorders>
              <w:top w:val="single" w:color="auto" w:sz="4" w:space="0"/>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投标文件格式</w:t>
            </w:r>
          </w:p>
        </w:tc>
        <w:tc>
          <w:tcPr>
            <w:tcW w:w="410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符合第六章“投标文件格式”的要求</w:t>
            </w:r>
          </w:p>
        </w:tc>
      </w:tr>
      <w:tr>
        <w:tblPrEx>
          <w:tblLayout w:type="fixed"/>
          <w:tblCellMar>
            <w:top w:w="0" w:type="dxa"/>
            <w:left w:w="10" w:type="dxa"/>
            <w:bottom w:w="0" w:type="dxa"/>
            <w:right w:w="10" w:type="dxa"/>
          </w:tblCellMar>
        </w:tblPrEx>
        <w:trPr>
          <w:trHeight w:val="837" w:hRule="exact"/>
          <w:jc w:val="center"/>
        </w:trPr>
        <w:tc>
          <w:tcPr>
            <w:tcW w:w="980"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p>
        </w:tc>
        <w:tc>
          <w:tcPr>
            <w:tcW w:w="1464"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p>
        </w:tc>
        <w:tc>
          <w:tcPr>
            <w:tcW w:w="219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投标内容</w:t>
            </w:r>
          </w:p>
        </w:tc>
        <w:tc>
          <w:tcPr>
            <w:tcW w:w="41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符合第二章“投标人须知”第1.6项规定</w:t>
            </w:r>
          </w:p>
        </w:tc>
      </w:tr>
      <w:tr>
        <w:tblPrEx>
          <w:tblLayout w:type="fixed"/>
          <w:tblCellMar>
            <w:top w:w="0" w:type="dxa"/>
            <w:left w:w="10" w:type="dxa"/>
            <w:bottom w:w="0" w:type="dxa"/>
            <w:right w:w="10" w:type="dxa"/>
          </w:tblCellMar>
        </w:tblPrEx>
        <w:trPr>
          <w:trHeight w:val="839" w:hRule="exact"/>
          <w:jc w:val="center"/>
        </w:trPr>
        <w:tc>
          <w:tcPr>
            <w:tcW w:w="980"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p>
        </w:tc>
        <w:tc>
          <w:tcPr>
            <w:tcW w:w="1464" w:type="dxa"/>
            <w:vMerge w:val="continue"/>
            <w:tcBorders>
              <w:lef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p>
        </w:tc>
        <w:tc>
          <w:tcPr>
            <w:tcW w:w="219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经营期</w:t>
            </w:r>
          </w:p>
        </w:tc>
        <w:tc>
          <w:tcPr>
            <w:tcW w:w="41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符合“投标人须知前附表”第1.6条规定</w:t>
            </w:r>
          </w:p>
        </w:tc>
      </w:tr>
      <w:tr>
        <w:tblPrEx>
          <w:tblLayout w:type="fixed"/>
          <w:tblCellMar>
            <w:top w:w="0" w:type="dxa"/>
            <w:left w:w="10" w:type="dxa"/>
            <w:bottom w:w="0" w:type="dxa"/>
            <w:right w:w="10" w:type="dxa"/>
          </w:tblCellMar>
        </w:tblPrEx>
        <w:trPr>
          <w:trHeight w:val="1691" w:hRule="exact"/>
          <w:jc w:val="center"/>
        </w:trPr>
        <w:tc>
          <w:tcPr>
            <w:tcW w:w="980" w:type="dxa"/>
            <w:vMerge w:val="continue"/>
            <w:tcBorders>
              <w:left w:val="single" w:color="auto" w:sz="4" w:space="0"/>
              <w:bottom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p>
        </w:tc>
        <w:tc>
          <w:tcPr>
            <w:tcW w:w="1464" w:type="dxa"/>
            <w:vMerge w:val="continue"/>
            <w:tcBorders>
              <w:left w:val="single" w:color="auto" w:sz="4" w:space="0"/>
              <w:bottom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p>
        </w:tc>
        <w:tc>
          <w:tcPr>
            <w:tcW w:w="219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投标报价</w:t>
            </w:r>
          </w:p>
        </w:tc>
        <w:tc>
          <w:tcPr>
            <w:tcW w:w="41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left"/>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投标人所报</w:t>
            </w:r>
            <w:r>
              <w:rPr>
                <w:rFonts w:hint="eastAsia" w:cstheme="majorBidi"/>
                <w:bCs/>
                <w:kern w:val="2"/>
                <w:sz w:val="21"/>
                <w:szCs w:val="22"/>
                <w:lang w:val="en-US" w:eastAsia="zh-CN" w:bidi="ar-SA"/>
              </w:rPr>
              <w:t>投标报价指标</w:t>
            </w:r>
            <w:r>
              <w:rPr>
                <w:rFonts w:hint="eastAsia" w:ascii="Arial" w:hAnsi="Arial" w:eastAsia="宋体" w:cstheme="majorBidi"/>
                <w:bCs/>
                <w:kern w:val="2"/>
                <w:sz w:val="21"/>
                <w:szCs w:val="22"/>
                <w:lang w:val="en-US" w:eastAsia="zh-CN" w:bidi="ar-SA"/>
              </w:rPr>
              <w:t>超过控制</w:t>
            </w:r>
            <w:r>
              <w:rPr>
                <w:rFonts w:hint="eastAsia" w:cstheme="majorBidi"/>
                <w:bCs/>
                <w:kern w:val="2"/>
                <w:sz w:val="21"/>
                <w:szCs w:val="22"/>
                <w:lang w:val="en-US" w:eastAsia="zh-CN" w:bidi="ar-SA"/>
              </w:rPr>
              <w:t>价</w:t>
            </w:r>
            <w:r>
              <w:rPr>
                <w:rFonts w:hint="eastAsia" w:ascii="Arial" w:hAnsi="Arial" w:eastAsia="宋体" w:cstheme="majorBidi"/>
                <w:bCs/>
                <w:kern w:val="2"/>
                <w:sz w:val="21"/>
                <w:szCs w:val="22"/>
                <w:lang w:val="en-US" w:eastAsia="zh-CN" w:bidi="ar-SA"/>
              </w:rPr>
              <w:t>的，视为不响应招标文件</w:t>
            </w:r>
          </w:p>
        </w:tc>
      </w:tr>
    </w:tbl>
    <w:p>
      <w:pPr>
        <w:pageBreakBefore w:val="0"/>
        <w:kinsoku/>
        <w:bidi w:val="0"/>
        <w:spacing w:line="360" w:lineRule="auto"/>
        <w:ind w:firstLine="480"/>
        <w:textAlignment w:val="auto"/>
      </w:pPr>
    </w:p>
    <w:p>
      <w:pPr>
        <w:pStyle w:val="58"/>
        <w:pageBreakBefore w:val="0"/>
        <w:numPr>
          <w:ilvl w:val="0"/>
          <w:numId w:val="0"/>
        </w:numPr>
        <w:kinsoku/>
        <w:bidi w:val="0"/>
        <w:spacing w:line="360" w:lineRule="auto"/>
        <w:jc w:val="center"/>
        <w:textAlignment w:val="auto"/>
      </w:pPr>
      <w:bookmarkStart w:id="104" w:name="_Toc437271288"/>
      <w:r>
        <w:rPr>
          <w:rFonts w:hint="eastAsia"/>
        </w:rPr>
        <w:t>评标标准细则</w:t>
      </w:r>
      <w:bookmarkEnd w:id="104"/>
    </w:p>
    <w:tbl>
      <w:tblPr>
        <w:tblStyle w:val="44"/>
        <w:tblpPr w:leftFromText="180" w:rightFromText="180" w:vertAnchor="text" w:horzAnchor="margin" w:tblpXSpec="center" w:tblpY="179"/>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68"/>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809"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b/>
                <w:sz w:val="21"/>
                <w:szCs w:val="21"/>
              </w:rPr>
            </w:pPr>
            <w:r>
              <w:rPr>
                <w:rFonts w:hint="eastAsia" w:ascii="宋体" w:hAnsi="宋体"/>
                <w:b/>
                <w:sz w:val="21"/>
                <w:szCs w:val="21"/>
              </w:rPr>
              <w:t>条款号</w:t>
            </w:r>
          </w:p>
        </w:tc>
        <w:tc>
          <w:tcPr>
            <w:tcW w:w="2268"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b/>
                <w:sz w:val="21"/>
                <w:szCs w:val="21"/>
              </w:rPr>
            </w:pPr>
            <w:r>
              <w:rPr>
                <w:rFonts w:hint="eastAsia" w:ascii="宋体" w:hAnsi="宋体"/>
                <w:b/>
                <w:sz w:val="21"/>
                <w:szCs w:val="21"/>
              </w:rPr>
              <w:t>条款内容</w:t>
            </w:r>
          </w:p>
        </w:tc>
        <w:tc>
          <w:tcPr>
            <w:tcW w:w="5279"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宋体"/>
                <w:b/>
                <w:sz w:val="21"/>
                <w:szCs w:val="21"/>
              </w:rPr>
            </w:pPr>
            <w:r>
              <w:rPr>
                <w:rFonts w:hint="eastAsia" w:ascii="宋体" w:hAnsi="宋体"/>
                <w:b/>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jc w:val="center"/>
        </w:trPr>
        <w:tc>
          <w:tcPr>
            <w:tcW w:w="1809"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5.1</w:t>
            </w:r>
          </w:p>
        </w:tc>
        <w:tc>
          <w:tcPr>
            <w:tcW w:w="2268"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分值构成</w:t>
            </w:r>
          </w:p>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（总分</w:t>
            </w:r>
            <w:r>
              <w:rPr>
                <w:rFonts w:hint="default" w:ascii="Arial" w:hAnsi="Arial" w:eastAsia="宋体" w:cstheme="majorBidi"/>
                <w:bCs/>
                <w:kern w:val="2"/>
                <w:sz w:val="21"/>
                <w:szCs w:val="22"/>
                <w:lang w:val="en-US" w:eastAsia="zh-CN" w:bidi="ar-SA"/>
              </w:rPr>
              <w:t>100</w:t>
            </w:r>
            <w:r>
              <w:rPr>
                <w:rFonts w:hint="eastAsia" w:ascii="Arial" w:hAnsi="Arial" w:eastAsia="宋体" w:cstheme="majorBidi"/>
                <w:bCs/>
                <w:kern w:val="2"/>
                <w:sz w:val="21"/>
                <w:szCs w:val="22"/>
                <w:lang w:val="en-US" w:eastAsia="zh-CN" w:bidi="ar-SA"/>
              </w:rPr>
              <w:t>分）</w:t>
            </w:r>
          </w:p>
        </w:tc>
        <w:tc>
          <w:tcPr>
            <w:tcW w:w="5279"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Arial" w:hAnsi="Arial" w:eastAsia="宋体" w:cstheme="majorBidi"/>
                <w:bCs/>
                <w:kern w:val="2"/>
                <w:sz w:val="21"/>
                <w:szCs w:val="22"/>
                <w:lang w:val="en-US" w:eastAsia="zh-CN" w:bidi="ar-SA"/>
              </w:rPr>
            </w:pPr>
            <w:bookmarkStart w:id="105" w:name="_Toc435693596"/>
            <w:r>
              <w:rPr>
                <w:rFonts w:hint="eastAsia" w:ascii="Arial" w:hAnsi="Arial" w:eastAsia="宋体" w:cstheme="majorBidi"/>
                <w:bCs/>
                <w:kern w:val="2"/>
                <w:sz w:val="21"/>
                <w:szCs w:val="22"/>
                <w:lang w:val="en-US" w:eastAsia="zh-CN" w:bidi="ar-SA"/>
              </w:rPr>
              <w:t>投标报价</w:t>
            </w:r>
            <w:r>
              <w:rPr>
                <w:rFonts w:hint="default" w:ascii="Arial" w:hAnsi="Arial" w:eastAsia="宋体" w:cstheme="majorBidi"/>
                <w:bCs/>
                <w:kern w:val="2"/>
                <w:sz w:val="21"/>
                <w:szCs w:val="22"/>
                <w:lang w:val="en-US" w:eastAsia="zh-CN" w:bidi="ar-SA"/>
              </w:rPr>
              <w:t>：</w:t>
            </w:r>
            <w:r>
              <w:rPr>
                <w:rFonts w:hint="eastAsia" w:ascii="Arial" w:hAnsi="Arial" w:eastAsia="宋体" w:cstheme="majorBidi"/>
                <w:bCs/>
                <w:kern w:val="2"/>
                <w:sz w:val="21"/>
                <w:szCs w:val="22"/>
                <w:lang w:val="en-US" w:eastAsia="zh-CN" w:bidi="ar-SA"/>
              </w:rPr>
              <w:t>3</w:t>
            </w:r>
            <w:r>
              <w:rPr>
                <w:rFonts w:hint="default" w:ascii="Arial" w:hAnsi="Arial" w:eastAsia="宋体" w:cstheme="majorBidi"/>
                <w:bCs/>
                <w:kern w:val="2"/>
                <w:sz w:val="21"/>
                <w:szCs w:val="22"/>
                <w:lang w:val="en-US" w:eastAsia="zh-CN" w:bidi="ar-SA"/>
              </w:rPr>
              <w:t>0</w:t>
            </w:r>
            <w:r>
              <w:rPr>
                <w:rFonts w:hint="eastAsia" w:ascii="Arial" w:hAnsi="Arial" w:eastAsia="宋体" w:cstheme="majorBidi"/>
                <w:bCs/>
                <w:kern w:val="2"/>
                <w:sz w:val="21"/>
                <w:szCs w:val="22"/>
                <w:lang w:val="en-US" w:eastAsia="zh-CN" w:bidi="ar-SA"/>
              </w:rPr>
              <w:t>分</w:t>
            </w:r>
            <w:bookmarkEnd w:id="105"/>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cstheme="majorBidi"/>
                <w:bCs/>
                <w:kern w:val="2"/>
                <w:sz w:val="21"/>
                <w:szCs w:val="22"/>
                <w:lang w:val="en-US" w:eastAsia="zh-CN" w:bidi="ar-SA"/>
              </w:rPr>
            </w:pPr>
            <w:r>
              <w:rPr>
                <w:rFonts w:hint="eastAsia" w:cstheme="majorBidi"/>
                <w:bCs/>
                <w:kern w:val="2"/>
                <w:sz w:val="21"/>
                <w:szCs w:val="22"/>
                <w:lang w:val="en-US" w:eastAsia="zh-CN" w:bidi="ar-SA"/>
              </w:rPr>
              <w:t>法律方案：5分</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社会资本</w:t>
            </w:r>
            <w:r>
              <w:rPr>
                <w:rFonts w:hint="default" w:ascii="Arial" w:hAnsi="Arial" w:eastAsia="宋体" w:cstheme="majorBidi"/>
                <w:bCs/>
                <w:kern w:val="2"/>
                <w:sz w:val="21"/>
                <w:szCs w:val="22"/>
                <w:lang w:val="en-US" w:eastAsia="zh-CN" w:bidi="ar-SA"/>
              </w:rPr>
              <w:t>综合实力：2</w:t>
            </w:r>
            <w:r>
              <w:rPr>
                <w:rFonts w:hint="eastAsia" w:ascii="Arial" w:hAnsi="Arial" w:eastAsia="宋体" w:cstheme="majorBidi"/>
                <w:bCs/>
                <w:kern w:val="2"/>
                <w:sz w:val="21"/>
                <w:szCs w:val="22"/>
                <w:lang w:val="en-US" w:eastAsia="zh-CN" w:bidi="ar-SA"/>
              </w:rPr>
              <w:t>5分</w:t>
            </w:r>
            <w:bookmarkStart w:id="106" w:name="_Toc435693598"/>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建设</w:t>
            </w:r>
            <w:r>
              <w:rPr>
                <w:rFonts w:hint="default" w:ascii="Arial" w:hAnsi="Arial" w:eastAsia="宋体" w:cstheme="majorBidi"/>
                <w:bCs/>
                <w:kern w:val="2"/>
                <w:sz w:val="21"/>
                <w:szCs w:val="22"/>
                <w:lang w:val="en-US" w:eastAsia="zh-CN" w:bidi="ar-SA"/>
              </w:rPr>
              <w:t>和运营方案：</w:t>
            </w:r>
            <w:r>
              <w:rPr>
                <w:rFonts w:hint="eastAsia" w:cstheme="majorBidi"/>
                <w:bCs/>
                <w:kern w:val="2"/>
                <w:sz w:val="21"/>
                <w:szCs w:val="22"/>
                <w:lang w:val="en-US" w:eastAsia="zh-CN" w:bidi="ar-SA"/>
              </w:rPr>
              <w:t>20</w:t>
            </w:r>
            <w:r>
              <w:rPr>
                <w:rFonts w:hint="eastAsia" w:ascii="Arial" w:hAnsi="Arial" w:eastAsia="宋体" w:cstheme="majorBidi"/>
                <w:bCs/>
                <w:kern w:val="2"/>
                <w:sz w:val="21"/>
                <w:szCs w:val="22"/>
                <w:lang w:val="en-US" w:eastAsia="zh-CN" w:bidi="ar-SA"/>
              </w:rPr>
              <w:t>分</w:t>
            </w:r>
            <w:bookmarkEnd w:id="106"/>
            <w:bookmarkStart w:id="107" w:name="_Toc435693599"/>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财务方案：</w:t>
            </w:r>
            <w:r>
              <w:rPr>
                <w:rFonts w:hint="default" w:ascii="Arial" w:hAnsi="Arial" w:eastAsia="宋体" w:cstheme="majorBidi"/>
                <w:bCs/>
                <w:kern w:val="2"/>
                <w:sz w:val="21"/>
                <w:szCs w:val="22"/>
                <w:lang w:val="en-US" w:eastAsia="zh-CN" w:bidi="ar-SA"/>
              </w:rPr>
              <w:t>20</w:t>
            </w:r>
            <w:r>
              <w:rPr>
                <w:rFonts w:hint="eastAsia" w:ascii="Arial" w:hAnsi="Arial" w:eastAsia="宋体" w:cstheme="majorBidi"/>
                <w:bCs/>
                <w:kern w:val="2"/>
                <w:sz w:val="21"/>
                <w:szCs w:val="22"/>
                <w:lang w:val="en-US" w:eastAsia="zh-CN" w:bidi="ar-SA"/>
              </w:rPr>
              <w:t>分</w:t>
            </w:r>
            <w:bookmarkEnd w:id="107"/>
          </w:p>
        </w:tc>
      </w:tr>
    </w:tbl>
    <w:p>
      <w:pPr>
        <w:pageBreakBefore w:val="0"/>
        <w:kinsoku/>
        <w:bidi w:val="0"/>
        <w:spacing w:line="360" w:lineRule="auto"/>
        <w:ind w:firstLine="480"/>
        <w:textAlignment w:val="auto"/>
      </w:pPr>
    </w:p>
    <w:tbl>
      <w:tblPr>
        <w:tblStyle w:val="44"/>
        <w:tblW w:w="95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9"/>
        <w:gridCol w:w="1255"/>
        <w:gridCol w:w="2143"/>
        <w:gridCol w:w="5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jc w:val="center"/>
        </w:trPr>
        <w:tc>
          <w:tcPr>
            <w:tcW w:w="2164" w:type="dxa"/>
            <w:gridSpan w:val="2"/>
            <w:tcBorders>
              <w:top w:val="single" w:color="auto" w:sz="4" w:space="0"/>
              <w:bottom w:val="single" w:color="auto" w:sz="4" w:space="0"/>
              <w:right w:val="single" w:color="auto" w:sz="4" w:space="0"/>
            </w:tcBorders>
          </w:tcPr>
          <w:p>
            <w:pPr>
              <w:keepNext w:val="0"/>
              <w:keepLines w:val="0"/>
              <w:pageBreakBefore w:val="0"/>
              <w:widowControl/>
              <w:suppressLineNumbers w:val="0"/>
              <w:kinsoku/>
              <w:bidi w:val="0"/>
              <w:spacing w:before="100" w:beforeAutospacing="1" w:after="100" w:afterAutospacing="1" w:line="360" w:lineRule="auto"/>
              <w:ind w:left="0" w:right="0" w:firstLine="0" w:firstLineChars="0"/>
              <w:jc w:val="center"/>
              <w:textAlignment w:val="auto"/>
              <w:rPr>
                <w:rFonts w:hint="default" w:hAnsi="宋体"/>
                <w:b/>
                <w:bCs/>
                <w:kern w:val="0"/>
                <w:sz w:val="21"/>
                <w:szCs w:val="21"/>
              </w:rPr>
            </w:pPr>
            <w:r>
              <w:rPr>
                <w:rFonts w:hint="eastAsia" w:hAnsi="宋体"/>
                <w:b/>
                <w:bCs/>
                <w:kern w:val="0"/>
                <w:sz w:val="21"/>
                <w:szCs w:val="21"/>
              </w:rPr>
              <w:t>条款号</w:t>
            </w: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bidi w:val="0"/>
              <w:spacing w:before="100" w:beforeAutospacing="1" w:after="100" w:afterAutospacing="1" w:line="360" w:lineRule="auto"/>
              <w:ind w:left="0" w:right="0" w:firstLine="0" w:firstLineChars="0"/>
              <w:jc w:val="center"/>
              <w:textAlignment w:val="auto"/>
              <w:rPr>
                <w:rFonts w:hint="default" w:hAnsi="宋体"/>
                <w:b/>
                <w:bCs/>
                <w:kern w:val="0"/>
                <w:sz w:val="21"/>
                <w:szCs w:val="21"/>
              </w:rPr>
            </w:pPr>
            <w:r>
              <w:rPr>
                <w:rFonts w:hint="eastAsia" w:hAnsi="宋体"/>
                <w:b/>
                <w:bCs/>
                <w:kern w:val="0"/>
                <w:sz w:val="21"/>
                <w:szCs w:val="21"/>
              </w:rPr>
              <w:t>评分因素</w:t>
            </w:r>
          </w:p>
        </w:tc>
        <w:tc>
          <w:tcPr>
            <w:tcW w:w="5232" w:type="dxa"/>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bidi w:val="0"/>
              <w:spacing w:before="100" w:beforeAutospacing="1" w:after="100" w:afterAutospacing="1" w:line="360" w:lineRule="auto"/>
              <w:ind w:left="0" w:right="0" w:firstLine="0" w:firstLineChars="0"/>
              <w:jc w:val="center"/>
              <w:textAlignment w:val="auto"/>
              <w:rPr>
                <w:rFonts w:hint="default" w:hAnsi="宋体"/>
                <w:b/>
                <w:bCs/>
                <w:kern w:val="0"/>
                <w:sz w:val="21"/>
                <w:szCs w:val="21"/>
              </w:rPr>
            </w:pPr>
            <w:r>
              <w:rPr>
                <w:rFonts w:hint="eastAsia" w:hAnsi="宋体"/>
                <w:b/>
                <w:bCs/>
                <w:kern w:val="0"/>
                <w:sz w:val="21"/>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09"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5.2.</w:t>
            </w:r>
            <w:r>
              <w:rPr>
                <w:rFonts w:hint="eastAsia" w:ascii="Arial" w:hAnsi="Arial" w:eastAsia="宋体" w:cstheme="majorBidi"/>
                <w:bCs/>
                <w:kern w:val="2"/>
                <w:sz w:val="21"/>
                <w:szCs w:val="22"/>
                <w:lang w:val="en-US" w:eastAsia="zh-CN" w:bidi="ar-SA"/>
              </w:rPr>
              <w:t>1</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both"/>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投标报价</w:t>
            </w:r>
          </w:p>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3</w:t>
            </w:r>
            <w:r>
              <w:rPr>
                <w:rFonts w:hint="default" w:ascii="Arial" w:hAnsi="Arial" w:eastAsia="宋体" w:cstheme="majorBidi"/>
                <w:bCs/>
                <w:kern w:val="2"/>
                <w:sz w:val="21"/>
                <w:szCs w:val="22"/>
                <w:lang w:val="en-US" w:eastAsia="zh-CN" w:bidi="ar-SA"/>
              </w:rPr>
              <w:t>0</w:t>
            </w:r>
            <w:r>
              <w:rPr>
                <w:rFonts w:hint="eastAsia" w:ascii="Arial" w:hAnsi="Arial" w:eastAsia="宋体" w:cstheme="majorBidi"/>
                <w:bCs/>
                <w:kern w:val="2"/>
                <w:sz w:val="21"/>
                <w:szCs w:val="22"/>
                <w:lang w:val="en-US" w:eastAsia="zh-CN" w:bidi="ar-SA"/>
              </w:rPr>
              <w:t>分</w:t>
            </w:r>
          </w:p>
        </w:tc>
        <w:tc>
          <w:tcPr>
            <w:tcW w:w="2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val="0"/>
              <w:topLinePunct/>
              <w:bidi w:val="0"/>
              <w:spacing w:before="0" w:beforeAutospacing="0" w:after="0" w:afterAutospacing="0" w:line="360" w:lineRule="auto"/>
              <w:ind w:left="0" w:leftChars="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投标报价</w:t>
            </w:r>
          </w:p>
          <w:p>
            <w:pPr>
              <w:keepNext w:val="0"/>
              <w:keepLines w:val="0"/>
              <w:pageBreakBefore w:val="0"/>
              <w:suppressLineNumbers w:val="0"/>
              <w:kinsoku/>
              <w:overflowPunct w:val="0"/>
              <w:topLinePunct/>
              <w:bidi w:val="0"/>
              <w:spacing w:before="0" w:beforeAutospacing="0" w:after="0" w:afterAutospacing="0" w:line="360" w:lineRule="auto"/>
              <w:ind w:left="0" w:leftChars="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w:t>
            </w:r>
            <w:r>
              <w:rPr>
                <w:rFonts w:hint="default" w:ascii="Arial" w:hAnsi="Arial" w:eastAsia="宋体" w:cstheme="majorBidi"/>
                <w:bCs/>
                <w:kern w:val="2"/>
                <w:sz w:val="21"/>
                <w:szCs w:val="22"/>
                <w:lang w:val="en-US" w:eastAsia="zh-CN" w:bidi="ar-SA"/>
              </w:rPr>
              <w:t>此项满分</w:t>
            </w:r>
            <w:r>
              <w:rPr>
                <w:rFonts w:hint="eastAsia" w:ascii="Arial" w:hAnsi="Arial" w:eastAsia="宋体" w:cstheme="majorBidi"/>
                <w:bCs/>
                <w:kern w:val="2"/>
                <w:sz w:val="21"/>
                <w:szCs w:val="22"/>
                <w:lang w:val="en-US" w:eastAsia="zh-CN" w:bidi="ar-SA"/>
              </w:rPr>
              <w:t>3</w:t>
            </w:r>
            <w:r>
              <w:rPr>
                <w:rFonts w:hint="default" w:ascii="Arial" w:hAnsi="Arial" w:eastAsia="宋体" w:cstheme="majorBidi"/>
                <w:bCs/>
                <w:kern w:val="2"/>
                <w:sz w:val="21"/>
                <w:szCs w:val="22"/>
                <w:lang w:val="en-US" w:eastAsia="zh-CN" w:bidi="ar-SA"/>
              </w:rPr>
              <w:t>0</w:t>
            </w:r>
            <w:r>
              <w:rPr>
                <w:rFonts w:hint="eastAsia" w:ascii="Arial" w:hAnsi="Arial" w:eastAsia="宋体" w:cstheme="majorBidi"/>
                <w:bCs/>
                <w:kern w:val="2"/>
                <w:sz w:val="21"/>
                <w:szCs w:val="22"/>
                <w:lang w:val="en-US" w:eastAsia="zh-CN" w:bidi="ar-SA"/>
              </w:rPr>
              <w:t>分）</w:t>
            </w:r>
          </w:p>
        </w:tc>
        <w:tc>
          <w:tcPr>
            <w:tcW w:w="5232"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以建筑安装工程费下浮优惠比例1%（不低于），合理利润率6.80%（不高于），年度折现率5.39%（不高于），运营成本下浮率0.00（不低于），政府付费总额不高于146667.80万元为招标控制价。满足文件要求且投报的政府付费总额最低的投标报价为评标基准价，其价格分为满分。</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其他投标人的价格分统一按照下列公式计算：</w:t>
            </w: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投标报价得分=（评标基准价/投标报价）</w:t>
            </w:r>
            <w:r>
              <w:rPr>
                <w:rFonts w:hint="default" w:ascii="Arial" w:hAnsi="Arial" w:eastAsia="宋体" w:cs="Arial"/>
                <w:bCs/>
                <w:kern w:val="2"/>
                <w:sz w:val="21"/>
                <w:szCs w:val="22"/>
                <w:lang w:val="en-US" w:eastAsia="zh-CN" w:bidi="ar-SA"/>
              </w:rPr>
              <w:t>×</w:t>
            </w:r>
            <w:r>
              <w:rPr>
                <w:rFonts w:hint="eastAsia" w:ascii="Arial" w:hAnsi="Arial" w:eastAsia="宋体" w:cstheme="majorBidi"/>
                <w:bCs/>
                <w:kern w:val="2"/>
                <w:sz w:val="21"/>
                <w:szCs w:val="22"/>
                <w:lang w:val="en-US" w:eastAsia="zh-CN" w:bidi="ar-SA"/>
              </w:rPr>
              <w:t>30，超过控制价为零分。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7" w:hRule="atLeast"/>
          <w:jc w:val="center"/>
        </w:trPr>
        <w:tc>
          <w:tcPr>
            <w:tcW w:w="909"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5.2.</w:t>
            </w:r>
            <w:r>
              <w:rPr>
                <w:rFonts w:hint="eastAsia" w:cstheme="majorBidi"/>
                <w:bCs/>
                <w:kern w:val="2"/>
                <w:sz w:val="21"/>
                <w:szCs w:val="22"/>
                <w:lang w:val="en-US" w:eastAsia="zh-CN" w:bidi="ar-SA"/>
              </w:rPr>
              <w:t>2</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0" w:leftChars="0" w:right="96" w:firstLine="0" w:firstLineChars="0"/>
              <w:jc w:val="center"/>
              <w:textAlignment w:val="auto"/>
              <w:rPr>
                <w:rFonts w:hint="eastAsia" w:cstheme="majorBidi"/>
                <w:bCs/>
                <w:kern w:val="2"/>
                <w:sz w:val="21"/>
                <w:szCs w:val="22"/>
                <w:lang w:val="en-US" w:eastAsia="zh-CN" w:bidi="ar-SA"/>
              </w:rPr>
            </w:pPr>
            <w:r>
              <w:rPr>
                <w:rFonts w:hint="eastAsia" w:cstheme="majorBidi"/>
                <w:bCs/>
                <w:kern w:val="2"/>
                <w:sz w:val="21"/>
                <w:szCs w:val="22"/>
                <w:lang w:val="en-US" w:eastAsia="zh-CN" w:bidi="ar-SA"/>
              </w:rPr>
              <w:t>法律方案</w:t>
            </w:r>
          </w:p>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lang w:val="en-US" w:eastAsia="zh-CN"/>
              </w:rPr>
            </w:pPr>
            <w:r>
              <w:rPr>
                <w:rFonts w:hint="eastAsia" w:cstheme="majorBidi"/>
                <w:bCs/>
                <w:kern w:val="2"/>
                <w:sz w:val="21"/>
                <w:szCs w:val="22"/>
                <w:lang w:val="en-US" w:eastAsia="zh-CN" w:bidi="ar-SA"/>
              </w:rPr>
              <w:t>5分</w:t>
            </w:r>
          </w:p>
        </w:tc>
        <w:tc>
          <w:tcPr>
            <w:tcW w:w="2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eastAsia" w:cstheme="majorBidi"/>
                <w:bCs/>
                <w:kern w:val="2"/>
                <w:sz w:val="21"/>
                <w:szCs w:val="22"/>
                <w:lang w:val="en-US" w:eastAsia="zh-CN" w:bidi="ar-SA"/>
              </w:rPr>
            </w:pPr>
            <w:r>
              <w:rPr>
                <w:rFonts w:hint="eastAsia" w:cstheme="majorBidi"/>
                <w:bCs/>
                <w:kern w:val="2"/>
                <w:sz w:val="21"/>
                <w:szCs w:val="22"/>
                <w:lang w:val="en-US" w:eastAsia="zh-CN" w:bidi="ar-SA"/>
              </w:rPr>
              <w:t>法律方案</w:t>
            </w:r>
          </w:p>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ascii="Arial" w:hAnsi="Arial" w:eastAsia="宋体" w:cstheme="majorBidi"/>
                <w:bCs/>
                <w:kern w:val="2"/>
                <w:sz w:val="21"/>
                <w:szCs w:val="22"/>
                <w:lang w:val="en-US" w:eastAsia="zh-CN" w:bidi="ar-SA"/>
              </w:rPr>
            </w:pPr>
            <w:r>
              <w:rPr>
                <w:rFonts w:hint="eastAsia" w:cstheme="majorBidi"/>
                <w:bCs/>
                <w:kern w:val="2"/>
                <w:sz w:val="21"/>
                <w:szCs w:val="22"/>
                <w:lang w:val="en-US" w:eastAsia="zh-CN" w:bidi="ar-SA"/>
              </w:rPr>
              <w:t>（此项满分5分）</w:t>
            </w:r>
          </w:p>
        </w:tc>
        <w:tc>
          <w:tcPr>
            <w:tcW w:w="5232"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76" w:leftChars="32" w:right="96" w:firstLine="0" w:firstLineChars="0"/>
              <w:jc w:val="left"/>
              <w:textAlignment w:val="auto"/>
              <w:rPr>
                <w:rFonts w:hint="default" w:ascii="Arial" w:hAnsi="Arial" w:eastAsia="宋体" w:cstheme="majorBidi"/>
                <w:bCs/>
                <w:kern w:val="2"/>
                <w:sz w:val="21"/>
                <w:szCs w:val="22"/>
                <w:lang w:val="en-US" w:eastAsia="zh-CN" w:bidi="ar-SA"/>
              </w:rPr>
            </w:pPr>
            <w:r>
              <w:rPr>
                <w:rFonts w:hint="eastAsia" w:cstheme="majorBidi"/>
                <w:bCs/>
                <w:kern w:val="2"/>
                <w:sz w:val="21"/>
                <w:szCs w:val="22"/>
                <w:lang w:val="en-US" w:eastAsia="zh-CN" w:bidi="ar-SA"/>
              </w:rPr>
              <w:t>对投标人提交的风险分析和应对方案进行评审，结合投标文件横向比较后打分，优秀得5分，良好得4分，一般得2—3分，较差得0—1分。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jc w:val="center"/>
        </w:trPr>
        <w:tc>
          <w:tcPr>
            <w:tcW w:w="909" w:type="dxa"/>
            <w:vMerge w:val="restart"/>
            <w:tcBorders>
              <w:top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leftChars="0" w:right="0" w:rightChars="0" w:firstLine="0" w:firstLineChars="0"/>
              <w:textAlignment w:val="auto"/>
              <w:rPr>
                <w:rFonts w:hint="default" w:ascii="Arial" w:hAnsi="Arial" w:eastAsia="宋体" w:cstheme="majorBidi"/>
                <w:bCs/>
                <w:kern w:val="2"/>
                <w:sz w:val="21"/>
                <w:szCs w:val="22"/>
                <w:lang w:val="en-US" w:eastAsia="zh-CN" w:bidi="ar-SA"/>
              </w:rPr>
            </w:pPr>
            <w:r>
              <w:rPr>
                <w:rFonts w:hint="eastAsia" w:cstheme="majorBidi"/>
                <w:bCs/>
                <w:kern w:val="2"/>
                <w:sz w:val="21"/>
                <w:szCs w:val="22"/>
                <w:lang w:val="en-US" w:eastAsia="zh-CN" w:bidi="ar-SA"/>
              </w:rPr>
              <w:t>5.2.3</w:t>
            </w:r>
          </w:p>
        </w:tc>
        <w:tc>
          <w:tcPr>
            <w:tcW w:w="1255" w:type="dxa"/>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社会资本综合实力</w:t>
            </w:r>
          </w:p>
          <w:p>
            <w:pPr>
              <w:keepNext w:val="0"/>
              <w:keepLines w:val="0"/>
              <w:pageBreakBefore w:val="0"/>
              <w:suppressLineNumbers w:val="0"/>
              <w:kinsoku/>
              <w:bidi w:val="0"/>
              <w:spacing w:before="0" w:beforeAutospacing="0" w:after="0" w:afterAutospacing="0" w:line="360" w:lineRule="auto"/>
              <w:ind w:left="0" w:leftChars="0" w:right="0" w:rightChars="0" w:firstLine="0" w:firstLineChars="0"/>
              <w:jc w:val="center"/>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2</w:t>
            </w:r>
            <w:r>
              <w:rPr>
                <w:rFonts w:hint="eastAsia" w:ascii="Arial" w:hAnsi="Arial" w:eastAsia="宋体" w:cstheme="majorBidi"/>
                <w:bCs/>
                <w:kern w:val="2"/>
                <w:sz w:val="21"/>
                <w:szCs w:val="22"/>
                <w:lang w:val="en-US" w:eastAsia="zh-CN" w:bidi="ar-SA"/>
              </w:rPr>
              <w:t>5分</w:t>
            </w:r>
          </w:p>
        </w:tc>
        <w:tc>
          <w:tcPr>
            <w:tcW w:w="2143" w:type="dxa"/>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社会资本</w:t>
            </w:r>
            <w:r>
              <w:rPr>
                <w:rFonts w:hint="default" w:ascii="Arial" w:hAnsi="Arial" w:eastAsia="宋体" w:cstheme="majorBidi"/>
                <w:bCs/>
                <w:kern w:val="2"/>
                <w:sz w:val="21"/>
                <w:szCs w:val="22"/>
                <w:lang w:val="en-US" w:eastAsia="zh-CN" w:bidi="ar-SA"/>
              </w:rPr>
              <w:t>综合</w:t>
            </w:r>
            <w:r>
              <w:rPr>
                <w:rFonts w:hint="eastAsia" w:ascii="Arial" w:hAnsi="Arial" w:eastAsia="宋体" w:cstheme="majorBidi"/>
                <w:bCs/>
                <w:kern w:val="2"/>
                <w:sz w:val="21"/>
                <w:szCs w:val="22"/>
                <w:lang w:val="en-US" w:eastAsia="zh-CN" w:bidi="ar-SA"/>
              </w:rPr>
              <w:t>实力</w:t>
            </w:r>
          </w:p>
          <w:p>
            <w:pPr>
              <w:keepNext w:val="0"/>
              <w:keepLines w:val="0"/>
              <w:pageBreakBefore w:val="0"/>
              <w:suppressLineNumbers w:val="0"/>
              <w:kinsoku/>
              <w:autoSpaceDE w:val="0"/>
              <w:autoSpaceDN w:val="0"/>
              <w:bidi w:val="0"/>
              <w:adjustRightInd w:val="0"/>
              <w:spacing w:before="50" w:beforeAutospacing="0" w:after="0" w:afterAutospacing="0" w:line="360" w:lineRule="auto"/>
              <w:ind w:left="68" w:leftChars="0" w:right="96" w:rightChars="0" w:firstLine="0" w:firstLineChars="0"/>
              <w:jc w:val="center"/>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（此项满分</w:t>
            </w:r>
            <w:r>
              <w:rPr>
                <w:rFonts w:hint="default" w:ascii="Arial" w:hAnsi="Arial" w:eastAsia="宋体" w:cstheme="majorBidi"/>
                <w:bCs/>
                <w:kern w:val="2"/>
                <w:sz w:val="21"/>
                <w:szCs w:val="22"/>
                <w:lang w:val="en-US" w:eastAsia="zh-CN" w:bidi="ar-SA"/>
              </w:rPr>
              <w:t>2</w:t>
            </w:r>
            <w:r>
              <w:rPr>
                <w:rFonts w:hint="eastAsia" w:ascii="Arial" w:hAnsi="Arial" w:eastAsia="宋体" w:cstheme="majorBidi"/>
                <w:bCs/>
                <w:kern w:val="2"/>
                <w:sz w:val="21"/>
                <w:szCs w:val="22"/>
                <w:lang w:val="en-US" w:eastAsia="zh-CN" w:bidi="ar-SA"/>
              </w:rPr>
              <w:t>5分）</w:t>
            </w:r>
          </w:p>
        </w:tc>
        <w:tc>
          <w:tcPr>
            <w:tcW w:w="5232"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76" w:leftChars="32" w:right="96" w:rightChars="0" w:firstLine="0" w:firstLineChars="0"/>
              <w:jc w:val="left"/>
              <w:textAlignment w:val="auto"/>
              <w:rPr>
                <w:rFonts w:hint="eastAsia"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（1）投标申请人（或联合体中的施工单位）近</w:t>
            </w:r>
            <w:r>
              <w:rPr>
                <w:rFonts w:hint="default" w:ascii="Arial" w:hAnsi="Arial" w:eastAsia="宋体" w:cstheme="majorBidi"/>
                <w:bCs/>
                <w:kern w:val="2"/>
                <w:sz w:val="21"/>
                <w:szCs w:val="22"/>
                <w:lang w:val="en-US" w:eastAsia="zh-CN" w:bidi="ar-SA"/>
              </w:rPr>
              <w:t>3年（以201</w:t>
            </w:r>
            <w:r>
              <w:rPr>
                <w:rFonts w:hint="eastAsia" w:ascii="Arial" w:hAnsi="Arial" w:eastAsia="宋体" w:cstheme="majorBidi"/>
                <w:bCs/>
                <w:kern w:val="2"/>
                <w:sz w:val="21"/>
                <w:szCs w:val="22"/>
                <w:lang w:val="en-US" w:eastAsia="zh-CN" w:bidi="ar-SA"/>
              </w:rPr>
              <w:t>5</w:t>
            </w:r>
            <w:r>
              <w:rPr>
                <w:rFonts w:hint="default" w:ascii="Arial" w:hAnsi="Arial" w:eastAsia="宋体" w:cstheme="majorBidi"/>
                <w:bCs/>
                <w:kern w:val="2"/>
                <w:sz w:val="21"/>
                <w:szCs w:val="22"/>
                <w:lang w:val="en-US" w:eastAsia="zh-CN" w:bidi="ar-SA"/>
              </w:rPr>
              <w:t>年1月1日以来</w:t>
            </w:r>
            <w:r>
              <w:rPr>
                <w:rFonts w:hint="eastAsia" w:ascii="Arial" w:hAnsi="Arial" w:eastAsia="宋体" w:cstheme="majorBidi"/>
                <w:bCs/>
                <w:kern w:val="2"/>
                <w:sz w:val="21"/>
                <w:szCs w:val="22"/>
                <w:lang w:val="en-US" w:eastAsia="zh-CN" w:bidi="ar-SA"/>
              </w:rPr>
              <w:t>已承揽</w:t>
            </w:r>
            <w:r>
              <w:rPr>
                <w:rFonts w:hint="default" w:ascii="Arial" w:hAnsi="Arial" w:eastAsia="宋体" w:cstheme="majorBidi"/>
                <w:bCs/>
                <w:kern w:val="2"/>
                <w:sz w:val="21"/>
                <w:szCs w:val="22"/>
                <w:lang w:val="en-US" w:eastAsia="zh-CN" w:bidi="ar-SA"/>
              </w:rPr>
              <w:t>工程</w:t>
            </w:r>
            <w:r>
              <w:rPr>
                <w:rFonts w:hint="eastAsia" w:ascii="Arial" w:hAnsi="Arial" w:eastAsia="宋体" w:cstheme="majorBidi"/>
                <w:bCs/>
                <w:kern w:val="2"/>
                <w:sz w:val="21"/>
                <w:szCs w:val="22"/>
                <w:lang w:val="en-US" w:eastAsia="zh-CN" w:bidi="ar-SA"/>
              </w:rPr>
              <w:t>为准</w:t>
            </w:r>
            <w:r>
              <w:rPr>
                <w:rFonts w:hint="default" w:ascii="Arial" w:hAnsi="Arial" w:eastAsia="宋体" w:cstheme="majorBidi"/>
                <w:bCs/>
                <w:kern w:val="2"/>
                <w:sz w:val="21"/>
                <w:szCs w:val="22"/>
                <w:lang w:val="en-US" w:eastAsia="zh-CN" w:bidi="ar-SA"/>
              </w:rPr>
              <w:t>）</w:t>
            </w:r>
            <w:r>
              <w:rPr>
                <w:rFonts w:hint="eastAsia" w:ascii="Arial" w:hAnsi="Arial" w:eastAsia="宋体" w:cstheme="majorBidi"/>
                <w:bCs/>
                <w:kern w:val="2"/>
                <w:sz w:val="21"/>
                <w:szCs w:val="22"/>
                <w:lang w:val="en-US" w:eastAsia="zh-CN" w:bidi="ar-SA"/>
              </w:rPr>
              <w:t>已承接的公路、桥梁工程施工项目业绩，单项合同额5亿元（含）以上每个得3分，满分6分。（满分6分）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jc w:val="center"/>
        </w:trPr>
        <w:tc>
          <w:tcPr>
            <w:tcW w:w="909" w:type="dxa"/>
            <w:vMerge w:val="continue"/>
            <w:tcBorders>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textAlignment w:val="auto"/>
              <w:rPr>
                <w:rFonts w:hint="default" w:ascii="Arial" w:hAnsi="Arial" w:eastAsia="宋体" w:cstheme="majorBidi"/>
                <w:bCs/>
                <w:kern w:val="2"/>
                <w:sz w:val="21"/>
                <w:szCs w:val="22"/>
                <w:lang w:val="en-US" w:eastAsia="zh-CN" w:bidi="ar-SA"/>
              </w:rPr>
            </w:pPr>
          </w:p>
        </w:tc>
        <w:tc>
          <w:tcPr>
            <w:tcW w:w="1255" w:type="dxa"/>
            <w:vMerge w:val="continue"/>
            <w:tcBorders>
              <w:left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jc w:val="center"/>
              <w:textAlignment w:val="auto"/>
              <w:rPr>
                <w:rFonts w:hint="default" w:ascii="Arial" w:hAnsi="Arial" w:eastAsia="宋体" w:cstheme="majorBidi"/>
                <w:bCs/>
                <w:kern w:val="2"/>
                <w:sz w:val="21"/>
                <w:szCs w:val="22"/>
                <w:lang w:val="en-US" w:eastAsia="zh-CN" w:bidi="ar-SA"/>
              </w:rPr>
            </w:pPr>
          </w:p>
        </w:tc>
        <w:tc>
          <w:tcPr>
            <w:tcW w:w="2143" w:type="dxa"/>
            <w:vMerge w:val="continue"/>
            <w:tcBorders>
              <w:left w:val="single" w:color="auto" w:sz="4" w:space="0"/>
              <w:right w:val="single" w:color="auto" w:sz="4" w:space="0"/>
            </w:tcBorders>
            <w:vAlign w:val="center"/>
          </w:tcPr>
          <w:p>
            <w:pPr>
              <w:keepNext w:val="0"/>
              <w:keepLines w:val="0"/>
              <w:pageBreakBefore w:val="0"/>
              <w:suppressLineNumbers w:val="0"/>
              <w:kinsoku/>
              <w:overflowPunct w:val="0"/>
              <w:topLinePunct/>
              <w:bidi w:val="0"/>
              <w:spacing w:before="0" w:beforeAutospacing="0" w:after="0" w:afterAutospacing="0" w:line="360" w:lineRule="auto"/>
              <w:ind w:left="420" w:right="0" w:firstLine="0" w:firstLineChars="0"/>
              <w:jc w:val="center"/>
              <w:textAlignment w:val="auto"/>
              <w:rPr>
                <w:rFonts w:hint="default" w:ascii="Arial" w:hAnsi="Arial" w:eastAsia="宋体" w:cstheme="majorBidi"/>
                <w:bCs/>
                <w:kern w:val="2"/>
                <w:sz w:val="21"/>
                <w:szCs w:val="22"/>
                <w:lang w:val="en-US" w:eastAsia="zh-CN" w:bidi="ar-SA"/>
              </w:rPr>
            </w:pPr>
          </w:p>
        </w:tc>
        <w:tc>
          <w:tcPr>
            <w:tcW w:w="5232" w:type="dxa"/>
            <w:tcBorders>
              <w:top w:val="single" w:color="auto" w:sz="4" w:space="0"/>
              <w:left w:val="single" w:color="auto" w:sz="4" w:space="0"/>
              <w:bottom w:val="single" w:color="auto" w:sz="4" w:space="0"/>
            </w:tcBorders>
            <w:vAlign w:val="center"/>
          </w:tcPr>
          <w:p>
            <w:pPr>
              <w:keepNext w:val="0"/>
              <w:keepLines w:val="0"/>
              <w:pageBreakBefore w:val="0"/>
              <w:numPr>
                <w:ilvl w:val="0"/>
                <w:numId w:val="2"/>
              </w:numPr>
              <w:suppressLineNumbers w:val="0"/>
              <w:kinsoku/>
              <w:autoSpaceDE w:val="0"/>
              <w:autoSpaceDN w:val="0"/>
              <w:bidi w:val="0"/>
              <w:adjustRightInd w:val="0"/>
              <w:spacing w:before="50" w:beforeAutospacing="0" w:after="0" w:afterAutospacing="0" w:line="360" w:lineRule="auto"/>
              <w:ind w:left="76" w:leftChars="32" w:right="96" w:firstLine="0" w:firstLineChars="0"/>
              <w:jc w:val="left"/>
              <w:textAlignment w:val="auto"/>
              <w:rPr>
                <w:rFonts w:hint="default" w:ascii="Arial" w:hAnsi="Arial" w:eastAsia="宋体" w:cstheme="majorBidi"/>
                <w:bCs/>
                <w:kern w:val="2"/>
                <w:sz w:val="21"/>
                <w:szCs w:val="22"/>
                <w:lang w:val="en-US" w:eastAsia="zh-CN" w:bidi="ar-SA"/>
              </w:rPr>
            </w:pPr>
            <w:r>
              <w:rPr>
                <w:rFonts w:hint="default" w:ascii="Arial" w:hAnsi="Arial" w:eastAsia="宋体" w:cstheme="majorBidi"/>
                <w:bCs/>
                <w:kern w:val="2"/>
                <w:sz w:val="21"/>
                <w:szCs w:val="22"/>
                <w:lang w:val="en-US" w:eastAsia="zh-CN" w:bidi="ar-SA"/>
              </w:rPr>
              <w:t>自第一次资格预审公告发出之日起前三年内，</w:t>
            </w:r>
            <w:r>
              <w:rPr>
                <w:rFonts w:hint="eastAsia" w:ascii="Arial" w:hAnsi="Arial" w:eastAsia="宋体" w:cstheme="majorBidi"/>
                <w:bCs/>
                <w:kern w:val="2"/>
                <w:sz w:val="21"/>
                <w:szCs w:val="22"/>
                <w:lang w:val="en-US" w:eastAsia="zh-CN" w:bidi="ar-SA"/>
              </w:rPr>
              <w:t>单项合同额5亿元（含）以上采用PPP模式的项目业绩，每个得3分，满分6分。</w:t>
            </w:r>
            <w:r>
              <w:rPr>
                <w:rFonts w:hint="default" w:ascii="Arial" w:hAnsi="Arial" w:eastAsia="宋体" w:cstheme="majorBidi"/>
                <w:bCs/>
                <w:kern w:val="2"/>
                <w:sz w:val="21"/>
                <w:szCs w:val="22"/>
                <w:lang w:val="en-US" w:eastAsia="zh-CN" w:bidi="ar-SA"/>
              </w:rPr>
              <w:t>（满分</w:t>
            </w:r>
            <w:r>
              <w:rPr>
                <w:rFonts w:hint="eastAsia" w:ascii="Arial" w:hAnsi="Arial" w:eastAsia="宋体" w:cstheme="majorBidi"/>
                <w:bCs/>
                <w:kern w:val="2"/>
                <w:sz w:val="21"/>
                <w:szCs w:val="22"/>
                <w:lang w:val="en-US" w:eastAsia="zh-CN" w:bidi="ar-SA"/>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13" w:hRule="atLeast"/>
          <w:jc w:val="center"/>
        </w:trPr>
        <w:tc>
          <w:tcPr>
            <w:tcW w:w="909" w:type="dxa"/>
            <w:vMerge w:val="continue"/>
            <w:tcBorders>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textAlignment w:val="auto"/>
              <w:rPr>
                <w:rFonts w:hint="default" w:ascii="宋体"/>
                <w:color w:val="000000"/>
                <w:sz w:val="21"/>
                <w:szCs w:val="21"/>
              </w:rPr>
            </w:pPr>
          </w:p>
        </w:tc>
        <w:tc>
          <w:tcPr>
            <w:tcW w:w="1255" w:type="dxa"/>
            <w:vMerge w:val="continue"/>
            <w:tcBorders>
              <w:left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jc w:val="center"/>
              <w:textAlignment w:val="auto"/>
              <w:rPr>
                <w:rFonts w:hint="default" w:ascii="宋体"/>
                <w:color w:val="000000"/>
                <w:sz w:val="21"/>
                <w:szCs w:val="21"/>
              </w:rPr>
            </w:pPr>
          </w:p>
        </w:tc>
        <w:tc>
          <w:tcPr>
            <w:tcW w:w="2143" w:type="dxa"/>
            <w:vMerge w:val="continue"/>
            <w:tcBorders>
              <w:left w:val="single" w:color="auto" w:sz="4" w:space="0"/>
              <w:right w:val="single" w:color="auto" w:sz="4" w:space="0"/>
            </w:tcBorders>
            <w:vAlign w:val="center"/>
          </w:tcPr>
          <w:p>
            <w:pPr>
              <w:keepNext w:val="0"/>
              <w:keepLines w:val="0"/>
              <w:pageBreakBefore w:val="0"/>
              <w:suppressLineNumbers w:val="0"/>
              <w:kinsoku/>
              <w:overflowPunct w:val="0"/>
              <w:topLinePunct/>
              <w:bidi w:val="0"/>
              <w:spacing w:before="0" w:beforeAutospacing="0" w:after="0" w:afterAutospacing="0" w:line="360" w:lineRule="auto"/>
              <w:ind w:left="420" w:right="0" w:firstLine="0" w:firstLineChars="0"/>
              <w:jc w:val="center"/>
              <w:textAlignment w:val="auto"/>
              <w:rPr>
                <w:rFonts w:hint="default" w:ascii="宋体"/>
                <w:color w:val="000000"/>
                <w:sz w:val="21"/>
                <w:szCs w:val="21"/>
              </w:rPr>
            </w:pPr>
          </w:p>
        </w:tc>
        <w:tc>
          <w:tcPr>
            <w:tcW w:w="5232"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0" w:right="96" w:firstLine="0" w:firstLineChars="0"/>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w:t>
            </w:r>
            <w:r>
              <w:rPr>
                <w:rFonts w:hint="eastAsia" w:cstheme="majorBidi"/>
                <w:bCs/>
                <w:kern w:val="2"/>
                <w:sz w:val="21"/>
                <w:szCs w:val="22"/>
                <w:lang w:val="en-US" w:eastAsia="zh-CN" w:bidi="ar-SA"/>
              </w:rPr>
              <w:t>3</w:t>
            </w:r>
            <w:r>
              <w:rPr>
                <w:rFonts w:hint="default" w:ascii="Arial" w:hAnsi="Arial" w:eastAsia="宋体" w:cstheme="majorBidi"/>
                <w:bCs/>
                <w:kern w:val="2"/>
                <w:sz w:val="21"/>
                <w:szCs w:val="22"/>
                <w:lang w:val="en-US" w:eastAsia="zh-CN" w:bidi="ar-SA"/>
              </w:rPr>
              <w:t>）投标人</w:t>
            </w:r>
            <w:r>
              <w:rPr>
                <w:rFonts w:hint="eastAsia" w:ascii="Arial" w:hAnsi="Arial" w:eastAsia="宋体" w:cstheme="majorBidi"/>
                <w:bCs/>
                <w:kern w:val="2"/>
                <w:sz w:val="21"/>
                <w:szCs w:val="22"/>
                <w:lang w:val="en-US" w:eastAsia="zh-CN" w:bidi="ar-SA"/>
              </w:rPr>
              <w:t>截止</w:t>
            </w:r>
            <w:r>
              <w:rPr>
                <w:rFonts w:hint="default" w:ascii="Arial" w:hAnsi="Arial" w:eastAsia="宋体" w:cstheme="majorBidi"/>
                <w:bCs/>
                <w:kern w:val="2"/>
                <w:sz w:val="21"/>
                <w:szCs w:val="22"/>
                <w:lang w:val="en-US" w:eastAsia="zh-CN" w:bidi="ar-SA"/>
              </w:rPr>
              <w:t>201</w:t>
            </w:r>
            <w:r>
              <w:rPr>
                <w:rFonts w:hint="eastAsia" w:ascii="Arial" w:hAnsi="Arial" w:eastAsia="宋体" w:cstheme="majorBidi"/>
                <w:bCs/>
                <w:kern w:val="2"/>
                <w:sz w:val="21"/>
                <w:szCs w:val="22"/>
                <w:lang w:val="en-US" w:eastAsia="zh-CN" w:bidi="ar-SA"/>
              </w:rPr>
              <w:t>7年</w:t>
            </w:r>
            <w:r>
              <w:rPr>
                <w:rFonts w:hint="default" w:ascii="Arial" w:hAnsi="Arial" w:eastAsia="宋体" w:cstheme="majorBidi"/>
                <w:bCs/>
                <w:kern w:val="2"/>
                <w:sz w:val="21"/>
                <w:szCs w:val="22"/>
                <w:lang w:val="en-US" w:eastAsia="zh-CN" w:bidi="ar-SA"/>
              </w:rPr>
              <w:t>12</w:t>
            </w:r>
            <w:r>
              <w:rPr>
                <w:rFonts w:hint="eastAsia" w:ascii="Arial" w:hAnsi="Arial" w:eastAsia="宋体" w:cstheme="majorBidi"/>
                <w:bCs/>
                <w:kern w:val="2"/>
                <w:sz w:val="21"/>
                <w:szCs w:val="22"/>
                <w:lang w:val="en-US" w:eastAsia="zh-CN" w:bidi="ar-SA"/>
              </w:rPr>
              <w:t>月</w:t>
            </w:r>
            <w:r>
              <w:rPr>
                <w:rFonts w:hint="default" w:ascii="Arial" w:hAnsi="Arial" w:eastAsia="宋体" w:cstheme="majorBidi"/>
                <w:bCs/>
                <w:kern w:val="2"/>
                <w:sz w:val="21"/>
                <w:szCs w:val="22"/>
                <w:lang w:val="en-US" w:eastAsia="zh-CN" w:bidi="ar-SA"/>
              </w:rPr>
              <w:t>31</w:t>
            </w:r>
            <w:r>
              <w:rPr>
                <w:rFonts w:hint="eastAsia" w:ascii="Arial" w:hAnsi="Arial" w:eastAsia="宋体" w:cstheme="majorBidi"/>
                <w:bCs/>
                <w:kern w:val="2"/>
                <w:sz w:val="21"/>
                <w:szCs w:val="22"/>
                <w:lang w:val="en-US" w:eastAsia="zh-CN" w:bidi="ar-SA"/>
              </w:rPr>
              <w:t>日经审计净资产额超过人民币</w:t>
            </w:r>
            <w:r>
              <w:rPr>
                <w:rFonts w:hint="default" w:ascii="Arial" w:hAnsi="Arial" w:eastAsia="宋体" w:cstheme="majorBidi"/>
                <w:bCs/>
                <w:kern w:val="2"/>
                <w:sz w:val="21"/>
                <w:szCs w:val="22"/>
                <w:lang w:val="en-US" w:eastAsia="zh-CN" w:bidi="ar-SA"/>
              </w:rPr>
              <w:t>1</w:t>
            </w:r>
            <w:r>
              <w:rPr>
                <w:rFonts w:hint="eastAsia" w:cstheme="majorBidi"/>
                <w:bCs/>
                <w:kern w:val="2"/>
                <w:sz w:val="21"/>
                <w:szCs w:val="22"/>
                <w:lang w:val="en-US" w:eastAsia="zh-CN" w:bidi="ar-SA"/>
              </w:rPr>
              <w:t>4</w:t>
            </w:r>
            <w:r>
              <w:rPr>
                <w:rFonts w:hint="eastAsia" w:ascii="Arial" w:hAnsi="Arial" w:eastAsia="宋体" w:cstheme="majorBidi"/>
                <w:bCs/>
                <w:kern w:val="2"/>
                <w:sz w:val="21"/>
                <w:szCs w:val="22"/>
                <w:lang w:val="en-US" w:eastAsia="zh-CN" w:bidi="ar-SA"/>
              </w:rPr>
              <w:t>亿元（以经审计的财务会计报表为准）的</w:t>
            </w:r>
            <w:r>
              <w:rPr>
                <w:rFonts w:hint="default" w:ascii="Arial" w:hAnsi="Arial" w:eastAsia="宋体" w:cstheme="majorBidi"/>
                <w:bCs/>
                <w:kern w:val="2"/>
                <w:sz w:val="21"/>
                <w:szCs w:val="22"/>
                <w:lang w:val="en-US" w:eastAsia="zh-CN" w:bidi="ar-SA"/>
              </w:rPr>
              <w:t>得</w:t>
            </w:r>
            <w:r>
              <w:rPr>
                <w:rFonts w:hint="eastAsia" w:ascii="Arial" w:hAnsi="Arial" w:eastAsia="宋体" w:cstheme="majorBidi"/>
                <w:bCs/>
                <w:kern w:val="2"/>
                <w:sz w:val="21"/>
                <w:szCs w:val="22"/>
                <w:lang w:val="en-US" w:eastAsia="zh-CN" w:bidi="ar-SA"/>
              </w:rPr>
              <w:t>4分；在人民币1</w:t>
            </w:r>
            <w:r>
              <w:rPr>
                <w:rFonts w:hint="eastAsia" w:cstheme="majorBidi"/>
                <w:bCs/>
                <w:kern w:val="2"/>
                <w:sz w:val="21"/>
                <w:szCs w:val="22"/>
                <w:lang w:val="en-US" w:eastAsia="zh-CN" w:bidi="ar-SA"/>
              </w:rPr>
              <w:t>4</w:t>
            </w:r>
            <w:r>
              <w:rPr>
                <w:rFonts w:hint="eastAsia" w:ascii="Arial" w:hAnsi="Arial" w:eastAsia="宋体" w:cstheme="majorBidi"/>
                <w:bCs/>
                <w:kern w:val="2"/>
                <w:sz w:val="21"/>
                <w:szCs w:val="22"/>
                <w:lang w:val="en-US" w:eastAsia="zh-CN" w:bidi="ar-SA"/>
              </w:rPr>
              <w:t>亿元</w:t>
            </w:r>
            <w:r>
              <w:rPr>
                <w:rFonts w:hint="eastAsia" w:cstheme="majorBidi"/>
                <w:bCs/>
                <w:kern w:val="2"/>
                <w:sz w:val="21"/>
                <w:szCs w:val="22"/>
                <w:lang w:val="en-US" w:eastAsia="zh-CN" w:bidi="ar-SA"/>
              </w:rPr>
              <w:t>的</w:t>
            </w:r>
            <w:r>
              <w:rPr>
                <w:rFonts w:hint="default" w:ascii="Arial" w:hAnsi="Arial" w:eastAsia="宋体" w:cstheme="majorBidi"/>
                <w:bCs/>
                <w:kern w:val="2"/>
                <w:sz w:val="21"/>
                <w:szCs w:val="22"/>
                <w:lang w:val="en-US" w:eastAsia="zh-CN" w:bidi="ar-SA"/>
              </w:rPr>
              <w:t>基础上，净资产额每</w:t>
            </w:r>
            <w:r>
              <w:rPr>
                <w:rFonts w:hint="eastAsia" w:ascii="Arial" w:hAnsi="Arial" w:eastAsia="宋体" w:cstheme="majorBidi"/>
                <w:bCs/>
                <w:kern w:val="2"/>
                <w:sz w:val="21"/>
                <w:szCs w:val="22"/>
                <w:lang w:val="en-US" w:eastAsia="zh-CN" w:bidi="ar-SA"/>
              </w:rPr>
              <w:t>增加</w:t>
            </w:r>
            <w:r>
              <w:rPr>
                <w:rFonts w:hint="eastAsia" w:cstheme="majorBidi"/>
                <w:bCs/>
                <w:kern w:val="2"/>
                <w:sz w:val="21"/>
                <w:szCs w:val="22"/>
                <w:lang w:val="en-US" w:eastAsia="zh-CN" w:bidi="ar-SA"/>
              </w:rPr>
              <w:t>2</w:t>
            </w:r>
            <w:r>
              <w:rPr>
                <w:rFonts w:hint="eastAsia" w:ascii="Arial" w:hAnsi="Arial" w:eastAsia="宋体" w:cstheme="majorBidi"/>
                <w:bCs/>
                <w:kern w:val="2"/>
                <w:sz w:val="21"/>
                <w:szCs w:val="22"/>
                <w:lang w:val="en-US" w:eastAsia="zh-CN" w:bidi="ar-SA"/>
              </w:rPr>
              <w:t>亿元</w:t>
            </w:r>
            <w:r>
              <w:rPr>
                <w:rFonts w:hint="default" w:ascii="Arial" w:hAnsi="Arial" w:eastAsia="宋体" w:cstheme="majorBidi"/>
                <w:bCs/>
                <w:kern w:val="2"/>
                <w:sz w:val="21"/>
                <w:szCs w:val="22"/>
                <w:lang w:val="en-US" w:eastAsia="zh-CN" w:bidi="ar-SA"/>
              </w:rPr>
              <w:t>，得</w:t>
            </w:r>
            <w:r>
              <w:rPr>
                <w:rFonts w:hint="eastAsia" w:ascii="Arial" w:hAnsi="Arial" w:eastAsia="宋体" w:cstheme="majorBidi"/>
                <w:bCs/>
                <w:kern w:val="2"/>
                <w:sz w:val="21"/>
                <w:szCs w:val="22"/>
                <w:lang w:val="en-US" w:eastAsia="zh-CN" w:bidi="ar-SA"/>
              </w:rPr>
              <w:t>1分</w:t>
            </w:r>
            <w:r>
              <w:rPr>
                <w:rFonts w:hint="eastAsia" w:cstheme="majorBidi"/>
                <w:bCs/>
                <w:kern w:val="2"/>
                <w:sz w:val="21"/>
                <w:szCs w:val="22"/>
                <w:lang w:val="en-US" w:eastAsia="zh-CN" w:bidi="ar-SA"/>
              </w:rPr>
              <w:t>，最多得2分</w:t>
            </w:r>
            <w:r>
              <w:rPr>
                <w:rFonts w:hint="default" w:ascii="Arial" w:hAnsi="Arial" w:eastAsia="宋体" w:cstheme="majorBidi"/>
                <w:bCs/>
                <w:kern w:val="2"/>
                <w:sz w:val="21"/>
                <w:szCs w:val="22"/>
                <w:lang w:val="en-US" w:eastAsia="zh-CN" w:bidi="ar-SA"/>
              </w:rPr>
              <w:t>；</w:t>
            </w:r>
            <w:r>
              <w:rPr>
                <w:rFonts w:hint="eastAsia" w:ascii="Arial" w:hAnsi="Arial" w:eastAsia="宋体" w:cstheme="majorBidi"/>
                <w:bCs/>
                <w:kern w:val="2"/>
                <w:sz w:val="21"/>
                <w:szCs w:val="22"/>
                <w:lang w:val="en-US" w:eastAsia="zh-CN" w:bidi="ar-SA"/>
              </w:rPr>
              <w:t>如果投资人为联合体，则联合体成员之一的净资产情况满足上述要求即可</w:t>
            </w:r>
            <w:r>
              <w:rPr>
                <w:rFonts w:hint="default" w:ascii="Arial" w:hAnsi="Arial" w:eastAsia="宋体" w:cstheme="majorBidi"/>
                <w:bCs/>
                <w:kern w:val="2"/>
                <w:sz w:val="21"/>
                <w:szCs w:val="22"/>
                <w:lang w:val="en-US" w:eastAsia="zh-CN" w:bidi="ar-SA"/>
              </w:rPr>
              <w:t>。（</w:t>
            </w:r>
            <w:r>
              <w:rPr>
                <w:rFonts w:hint="eastAsia" w:ascii="Arial" w:hAnsi="Arial" w:eastAsia="宋体" w:cstheme="majorBidi"/>
                <w:bCs/>
                <w:kern w:val="2"/>
                <w:sz w:val="21"/>
                <w:szCs w:val="22"/>
                <w:lang w:val="en-US" w:eastAsia="zh-CN" w:bidi="ar-SA"/>
              </w:rPr>
              <w:t>满分6分</w:t>
            </w:r>
            <w:r>
              <w:rPr>
                <w:rFonts w:hint="default" w:ascii="Arial" w:hAnsi="Arial" w:eastAsia="宋体" w:cstheme="majorBidi"/>
                <w:bCs/>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jc w:val="center"/>
        </w:trPr>
        <w:tc>
          <w:tcPr>
            <w:tcW w:w="909" w:type="dxa"/>
            <w:vMerge w:val="continue"/>
            <w:tcBorders>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textAlignment w:val="auto"/>
              <w:rPr>
                <w:rFonts w:hint="default" w:ascii="宋体"/>
                <w:color w:val="000000"/>
                <w:sz w:val="21"/>
                <w:szCs w:val="21"/>
              </w:rPr>
            </w:pPr>
          </w:p>
        </w:tc>
        <w:tc>
          <w:tcPr>
            <w:tcW w:w="1255"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jc w:val="center"/>
              <w:textAlignment w:val="auto"/>
              <w:rPr>
                <w:rFonts w:hint="default" w:ascii="宋体"/>
                <w:color w:val="000000"/>
                <w:sz w:val="21"/>
                <w:szCs w:val="21"/>
              </w:rPr>
            </w:pPr>
          </w:p>
        </w:tc>
        <w:tc>
          <w:tcPr>
            <w:tcW w:w="2143"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overflowPunct w:val="0"/>
              <w:topLinePunct/>
              <w:bidi w:val="0"/>
              <w:spacing w:before="0" w:beforeAutospacing="0" w:after="0" w:afterAutospacing="0" w:line="360" w:lineRule="auto"/>
              <w:ind w:left="420" w:right="0" w:firstLine="0" w:firstLineChars="0"/>
              <w:jc w:val="center"/>
              <w:textAlignment w:val="auto"/>
              <w:rPr>
                <w:rFonts w:hint="default" w:ascii="宋体"/>
                <w:color w:val="000000"/>
                <w:sz w:val="21"/>
                <w:szCs w:val="21"/>
              </w:rPr>
            </w:pPr>
          </w:p>
        </w:tc>
        <w:tc>
          <w:tcPr>
            <w:tcW w:w="5232"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0" w:right="96" w:firstLine="0" w:firstLineChars="0"/>
              <w:textAlignment w:val="auto"/>
              <w:rPr>
                <w:rFonts w:hint="default" w:ascii="Arial" w:hAnsi="Arial" w:eastAsia="宋体" w:cstheme="majorBidi"/>
                <w:bCs/>
                <w:kern w:val="2"/>
                <w:sz w:val="21"/>
                <w:szCs w:val="22"/>
                <w:lang w:val="en-US" w:eastAsia="zh-CN" w:bidi="ar-SA"/>
              </w:rPr>
            </w:pPr>
            <w:r>
              <w:rPr>
                <w:rFonts w:hint="eastAsia" w:ascii="Arial" w:hAnsi="Arial" w:eastAsia="宋体" w:cstheme="majorBidi"/>
                <w:bCs/>
                <w:kern w:val="2"/>
                <w:sz w:val="21"/>
                <w:szCs w:val="22"/>
                <w:lang w:val="en-US" w:eastAsia="zh-CN" w:bidi="ar-SA"/>
              </w:rPr>
              <w:t>（</w:t>
            </w:r>
            <w:r>
              <w:rPr>
                <w:rFonts w:hint="eastAsia" w:cstheme="majorBidi"/>
                <w:bCs/>
                <w:kern w:val="2"/>
                <w:sz w:val="21"/>
                <w:szCs w:val="22"/>
                <w:lang w:val="en-US" w:eastAsia="zh-CN" w:bidi="ar-SA"/>
              </w:rPr>
              <w:t>4</w:t>
            </w:r>
            <w:r>
              <w:rPr>
                <w:rFonts w:hint="default" w:ascii="Arial" w:hAnsi="Arial" w:eastAsia="宋体" w:cstheme="majorBidi"/>
                <w:bCs/>
                <w:kern w:val="2"/>
                <w:sz w:val="21"/>
                <w:szCs w:val="22"/>
                <w:lang w:val="en-US" w:eastAsia="zh-CN" w:bidi="ar-SA"/>
              </w:rPr>
              <w:t>）投标人结合本项目实际情况安排项目领导班子和各部门配置，以及分工和职责，评委根据安排的</w:t>
            </w:r>
            <w:r>
              <w:rPr>
                <w:rFonts w:hint="eastAsia" w:cstheme="majorBidi"/>
                <w:bCs/>
                <w:kern w:val="2"/>
                <w:sz w:val="21"/>
                <w:szCs w:val="22"/>
                <w:lang w:val="en-US" w:eastAsia="zh-CN" w:bidi="ar-SA"/>
              </w:rPr>
              <w:t>全面性</w:t>
            </w:r>
            <w:r>
              <w:rPr>
                <w:rFonts w:hint="default" w:ascii="Arial" w:hAnsi="Arial" w:eastAsia="宋体" w:cstheme="majorBidi"/>
                <w:bCs/>
                <w:kern w:val="2"/>
                <w:sz w:val="21"/>
                <w:szCs w:val="22"/>
                <w:lang w:val="en-US" w:eastAsia="zh-CN" w:bidi="ar-SA"/>
              </w:rPr>
              <w:t>、合理性</w:t>
            </w:r>
            <w:r>
              <w:rPr>
                <w:rFonts w:hint="eastAsia" w:cstheme="majorBidi"/>
                <w:bCs/>
                <w:kern w:val="2"/>
                <w:sz w:val="21"/>
                <w:szCs w:val="22"/>
                <w:lang w:val="en-US" w:eastAsia="zh-CN" w:bidi="ar-SA"/>
              </w:rPr>
              <w:t>、可行性</w:t>
            </w:r>
            <w:r>
              <w:rPr>
                <w:rFonts w:hint="default" w:ascii="Arial" w:hAnsi="Arial" w:eastAsia="宋体" w:cstheme="majorBidi"/>
                <w:bCs/>
                <w:kern w:val="2"/>
                <w:sz w:val="21"/>
                <w:szCs w:val="22"/>
                <w:lang w:val="en-US" w:eastAsia="zh-CN" w:bidi="ar-SA"/>
              </w:rPr>
              <w:t>酌情打分0</w:t>
            </w:r>
            <w:r>
              <w:rPr>
                <w:rFonts w:hint="eastAsia" w:cstheme="majorBidi"/>
                <w:bCs/>
                <w:kern w:val="2"/>
                <w:sz w:val="21"/>
                <w:szCs w:val="22"/>
                <w:lang w:val="en-US" w:eastAsia="zh-CN" w:bidi="ar-SA"/>
              </w:rPr>
              <w:t>—7</w:t>
            </w:r>
            <w:r>
              <w:rPr>
                <w:rFonts w:hint="eastAsia" w:ascii="Arial" w:hAnsi="Arial" w:eastAsia="宋体" w:cstheme="majorBidi"/>
                <w:bCs/>
                <w:kern w:val="2"/>
                <w:sz w:val="21"/>
                <w:szCs w:val="22"/>
                <w:lang w:val="en-US" w:eastAsia="zh-CN" w:bidi="ar-SA"/>
              </w:rPr>
              <w:t>分。（满分</w:t>
            </w:r>
            <w:r>
              <w:rPr>
                <w:rFonts w:hint="eastAsia" w:cstheme="majorBidi"/>
                <w:bCs/>
                <w:kern w:val="2"/>
                <w:sz w:val="21"/>
                <w:szCs w:val="22"/>
                <w:lang w:val="en-US" w:eastAsia="zh-CN" w:bidi="ar-SA"/>
              </w:rPr>
              <w:t>7</w:t>
            </w:r>
            <w:r>
              <w:rPr>
                <w:rFonts w:hint="eastAsia" w:ascii="Arial" w:hAnsi="Arial" w:eastAsia="宋体" w:cstheme="majorBidi"/>
                <w:bCs/>
                <w:kern w:val="2"/>
                <w:sz w:val="21"/>
                <w:szCs w:val="22"/>
                <w:lang w:val="en-US" w:eastAsia="zh-CN" w:bidi="ar-S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38" w:hRule="atLeast"/>
          <w:jc w:val="center"/>
        </w:trPr>
        <w:tc>
          <w:tcPr>
            <w:tcW w:w="909" w:type="dxa"/>
            <w:tcBorders>
              <w:top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color w:val="000000"/>
                <w:sz w:val="21"/>
                <w:szCs w:val="21"/>
              </w:rPr>
            </w:pPr>
            <w:r>
              <w:rPr>
                <w:rFonts w:hint="default" w:ascii="宋体" w:hAnsi="宋体"/>
                <w:color w:val="000000"/>
                <w:sz w:val="21"/>
                <w:szCs w:val="21"/>
              </w:rPr>
              <w:t>5</w:t>
            </w:r>
            <w:r>
              <w:rPr>
                <w:rFonts w:hint="eastAsia" w:ascii="宋体" w:hAnsi="宋体"/>
                <w:color w:val="000000"/>
                <w:sz w:val="21"/>
                <w:szCs w:val="21"/>
              </w:rPr>
              <w:t>.2.</w:t>
            </w:r>
            <w:r>
              <w:rPr>
                <w:rFonts w:hint="eastAsia" w:ascii="宋体" w:hAnsi="宋体"/>
                <w:color w:val="000000"/>
                <w:sz w:val="21"/>
                <w:szCs w:val="21"/>
                <w:lang w:val="en-US" w:eastAsia="zh-CN"/>
              </w:rPr>
              <w:t>4</w:t>
            </w:r>
          </w:p>
        </w:tc>
        <w:tc>
          <w:tcPr>
            <w:tcW w:w="1255"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leftChars="0" w:right="0" w:firstLine="0" w:firstLineChars="0"/>
              <w:jc w:val="center"/>
              <w:textAlignment w:val="auto"/>
              <w:rPr>
                <w:rFonts w:hint="eastAsia" w:ascii="宋体" w:hAnsi="宋体"/>
                <w:color w:val="000000"/>
                <w:sz w:val="21"/>
                <w:szCs w:val="21"/>
              </w:rPr>
            </w:pPr>
            <w:r>
              <w:rPr>
                <w:rFonts w:hint="eastAsia" w:ascii="宋体" w:hAnsi="宋体"/>
                <w:color w:val="000000"/>
                <w:sz w:val="21"/>
                <w:szCs w:val="21"/>
              </w:rPr>
              <w:t>建设和运营方案</w:t>
            </w:r>
          </w:p>
          <w:p>
            <w:pPr>
              <w:keepNext w:val="0"/>
              <w:keepLines w:val="0"/>
              <w:pageBreakBefore w:val="0"/>
              <w:suppressLineNumbers w:val="0"/>
              <w:kinsoku/>
              <w:bidi w:val="0"/>
              <w:spacing w:before="0" w:beforeAutospacing="0" w:after="0" w:afterAutospacing="0" w:line="360" w:lineRule="auto"/>
              <w:ind w:left="0" w:leftChars="0" w:right="0" w:firstLine="0" w:firstLineChars="0"/>
              <w:jc w:val="center"/>
              <w:textAlignment w:val="auto"/>
              <w:rPr>
                <w:rFonts w:hint="default" w:ascii="宋体"/>
                <w:color w:val="000000"/>
                <w:sz w:val="21"/>
                <w:szCs w:val="21"/>
              </w:rPr>
            </w:pPr>
            <w:r>
              <w:rPr>
                <w:rFonts w:hint="eastAsia" w:ascii="宋体" w:hAnsi="宋体"/>
                <w:color w:val="000000"/>
                <w:sz w:val="21"/>
                <w:szCs w:val="21"/>
                <w:lang w:val="en-US" w:eastAsia="zh-CN"/>
              </w:rPr>
              <w:t>2</w:t>
            </w:r>
            <w:r>
              <w:rPr>
                <w:rFonts w:hint="eastAsia" w:ascii="宋体"/>
                <w:color w:val="000000"/>
                <w:sz w:val="21"/>
                <w:szCs w:val="21"/>
                <w:lang w:val="en-US" w:eastAsia="zh-CN"/>
              </w:rPr>
              <w:t>5</w:t>
            </w:r>
            <w:r>
              <w:rPr>
                <w:rFonts w:hint="eastAsia" w:ascii="宋体" w:hAnsi="宋体"/>
                <w:color w:val="000000"/>
                <w:sz w:val="21"/>
                <w:szCs w:val="21"/>
              </w:rPr>
              <w:t>分</w:t>
            </w:r>
          </w:p>
        </w:tc>
        <w:tc>
          <w:tcPr>
            <w:tcW w:w="2143"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leftChars="0" w:right="0" w:firstLine="0" w:firstLineChars="0"/>
              <w:jc w:val="center"/>
              <w:textAlignment w:val="auto"/>
              <w:rPr>
                <w:rFonts w:hint="eastAsia" w:ascii="宋体" w:hAnsi="宋体"/>
                <w:color w:val="000000"/>
                <w:sz w:val="21"/>
                <w:szCs w:val="21"/>
              </w:rPr>
            </w:pPr>
            <w:r>
              <w:rPr>
                <w:rFonts w:hint="eastAsia" w:ascii="宋体" w:hAnsi="宋体"/>
                <w:color w:val="000000"/>
                <w:sz w:val="21"/>
                <w:szCs w:val="21"/>
              </w:rPr>
              <w:t>建设和运营方案</w:t>
            </w:r>
          </w:p>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ascii="宋体"/>
                <w:color w:val="000000"/>
                <w:sz w:val="21"/>
                <w:szCs w:val="21"/>
              </w:rPr>
            </w:pPr>
            <w:r>
              <w:rPr>
                <w:rFonts w:hint="eastAsia" w:ascii="宋体" w:hAnsi="宋体"/>
                <w:color w:val="000000"/>
                <w:sz w:val="21"/>
                <w:szCs w:val="21"/>
                <w:lang w:val="en-US" w:eastAsia="zh-CN"/>
              </w:rPr>
              <w:t>（此项满分2</w:t>
            </w:r>
            <w:r>
              <w:rPr>
                <w:rFonts w:hint="eastAsia" w:ascii="宋体"/>
                <w:color w:val="000000"/>
                <w:sz w:val="21"/>
                <w:szCs w:val="21"/>
                <w:lang w:val="en-US" w:eastAsia="zh-CN"/>
              </w:rPr>
              <w:t>5</w:t>
            </w:r>
            <w:r>
              <w:rPr>
                <w:rFonts w:hint="eastAsia" w:ascii="宋体" w:hAnsi="宋体"/>
                <w:color w:val="000000"/>
                <w:sz w:val="21"/>
                <w:szCs w:val="21"/>
              </w:rPr>
              <w:t>分</w:t>
            </w:r>
            <w:r>
              <w:rPr>
                <w:rFonts w:hint="eastAsia" w:ascii="宋体" w:hAnsi="宋体"/>
                <w:color w:val="000000"/>
                <w:sz w:val="21"/>
                <w:szCs w:val="21"/>
                <w:lang w:eastAsia="zh-CN"/>
              </w:rPr>
              <w:t>）</w:t>
            </w:r>
          </w:p>
        </w:tc>
        <w:tc>
          <w:tcPr>
            <w:tcW w:w="5232" w:type="dxa"/>
            <w:tcBorders>
              <w:top w:val="single" w:color="auto" w:sz="4" w:space="0"/>
              <w:left w:val="single" w:color="auto" w:sz="4" w:space="0"/>
              <w:bottom w:val="single" w:color="auto" w:sz="4" w:space="0"/>
            </w:tcBorders>
            <w:vAlign w:val="top"/>
          </w:tcPr>
          <w:p>
            <w:pPr>
              <w:keepNext w:val="0"/>
              <w:keepLines w:val="0"/>
              <w:pageBreakBefore w:val="0"/>
              <w:suppressLineNumbers w:val="0"/>
              <w:kinsoku/>
              <w:autoSpaceDE w:val="0"/>
              <w:autoSpaceDN w:val="0"/>
              <w:bidi w:val="0"/>
              <w:adjustRightInd w:val="0"/>
              <w:spacing w:before="50" w:beforeAutospacing="0" w:after="0" w:afterAutospacing="0" w:line="360" w:lineRule="auto"/>
              <w:ind w:left="76" w:leftChars="32" w:right="96" w:firstLine="0" w:firstLineChars="0"/>
              <w:jc w:val="left"/>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（1）项目公司组建方案（包括但不限于组织结构、人员配备、管理制度体系等）针对完整性、合理性情况评分0—5分。（满分5分）</w:t>
            </w:r>
          </w:p>
          <w:p>
            <w:pPr>
              <w:keepNext w:val="0"/>
              <w:keepLines w:val="0"/>
              <w:pageBreakBefore w:val="0"/>
              <w:suppressLineNumbers w:val="0"/>
              <w:kinsoku/>
              <w:autoSpaceDE w:val="0"/>
              <w:autoSpaceDN w:val="0"/>
              <w:bidi w:val="0"/>
              <w:adjustRightInd w:val="0"/>
              <w:spacing w:before="50" w:beforeAutospacing="0" w:after="0" w:afterAutospacing="0" w:line="360" w:lineRule="auto"/>
              <w:ind w:left="76" w:leftChars="32" w:right="96" w:firstLine="0" w:firstLineChars="0"/>
              <w:jc w:val="left"/>
              <w:textAlignment w:val="auto"/>
              <w:rPr>
                <w:rFonts w:hint="eastAsia" w:ascii="宋体" w:hAnsi="宋体"/>
                <w:color w:val="auto"/>
                <w:sz w:val="21"/>
                <w:szCs w:val="21"/>
                <w:lang w:val="en-US"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工程建设方案（包括但不限于组织保证、施工准备、施工组织方案与技术措施、安全生产、质量保障、成本控制、环境保护、施工扬尘污染防治、工期安排等）针对完整性、合理性情况评分0—10分。（满分10分）</w:t>
            </w:r>
          </w:p>
          <w:p>
            <w:pPr>
              <w:keepNext w:val="0"/>
              <w:keepLines w:val="0"/>
              <w:pageBreakBefore w:val="0"/>
              <w:suppressLineNumbers w:val="0"/>
              <w:kinsoku/>
              <w:autoSpaceDE w:val="0"/>
              <w:autoSpaceDN w:val="0"/>
              <w:bidi w:val="0"/>
              <w:adjustRightInd w:val="0"/>
              <w:spacing w:before="50" w:beforeAutospacing="0" w:after="0" w:afterAutospacing="0" w:line="360" w:lineRule="auto"/>
              <w:ind w:left="76" w:leftChars="32" w:right="96" w:firstLine="0" w:firstLineChars="0"/>
              <w:jc w:val="left"/>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（3）运营与维护方案（包括但不限于管理制度、组织保证、质量目标与保证、日常运营、公路养护、附属设施维护、综合巡查、紧急情况应急方案、环境保护等）针对完整性、合理性情况评分0—5分。</w:t>
            </w:r>
            <w:r>
              <w:rPr>
                <w:rFonts w:hint="eastAsia"/>
                <w:lang w:val="en-US" w:eastAsia="zh-CN"/>
              </w:rPr>
              <w:t>（</w:t>
            </w:r>
            <w:r>
              <w:rPr>
                <w:rFonts w:hint="eastAsia" w:ascii="宋体" w:hAnsi="宋体"/>
                <w:color w:val="auto"/>
                <w:sz w:val="21"/>
                <w:szCs w:val="21"/>
                <w:lang w:val="en-US" w:eastAsia="zh-CN"/>
              </w:rPr>
              <w:t>满分5分）</w:t>
            </w:r>
          </w:p>
          <w:p>
            <w:pPr>
              <w:keepNext w:val="0"/>
              <w:keepLines w:val="0"/>
              <w:pageBreakBefore w:val="0"/>
              <w:suppressLineNumbers w:val="0"/>
              <w:kinsoku/>
              <w:autoSpaceDE w:val="0"/>
              <w:autoSpaceDN w:val="0"/>
              <w:bidi w:val="0"/>
              <w:adjustRightInd w:val="0"/>
              <w:spacing w:before="50" w:beforeAutospacing="0" w:after="0" w:afterAutospacing="0" w:line="360" w:lineRule="auto"/>
              <w:ind w:left="76" w:leftChars="32" w:right="96" w:firstLine="0" w:firstLineChars="0"/>
              <w:jc w:val="left"/>
              <w:textAlignment w:val="auto"/>
              <w:rPr>
                <w:rFonts w:hint="eastAsia"/>
                <w:lang w:val="en-US" w:eastAsia="zh-CN"/>
              </w:rPr>
            </w:pPr>
            <w:r>
              <w:rPr>
                <w:rFonts w:hint="eastAsia" w:ascii="宋体" w:hAnsi="宋体"/>
                <w:color w:val="auto"/>
                <w:sz w:val="21"/>
                <w:szCs w:val="21"/>
                <w:lang w:val="en-US" w:eastAsia="zh-CN"/>
              </w:rPr>
              <w:t>（4）项目设施移交方案（包括但不限于移交的时间安排、移交验收程序、移交内容、质量保证）针对完整性、合理性情况评分0—5分。（满分5分）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909" w:type="dxa"/>
            <w:vMerge w:val="restart"/>
            <w:tcBorders>
              <w:top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ascii="宋体"/>
                <w:color w:val="000000"/>
                <w:sz w:val="21"/>
                <w:szCs w:val="21"/>
              </w:rPr>
            </w:pPr>
            <w:r>
              <w:rPr>
                <w:rFonts w:hint="default" w:ascii="宋体" w:hAnsi="宋体"/>
                <w:sz w:val="21"/>
                <w:szCs w:val="21"/>
              </w:rPr>
              <w:t>5.2.</w:t>
            </w:r>
            <w:r>
              <w:rPr>
                <w:rFonts w:hint="eastAsia" w:ascii="宋体" w:hAnsi="宋体"/>
                <w:sz w:val="21"/>
                <w:szCs w:val="21"/>
                <w:lang w:val="en-US" w:eastAsia="zh-CN"/>
              </w:rPr>
              <w:t>5</w:t>
            </w:r>
          </w:p>
        </w:tc>
        <w:tc>
          <w:tcPr>
            <w:tcW w:w="1255" w:type="dxa"/>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leftChars="0" w:right="0" w:firstLine="0" w:firstLineChars="0"/>
              <w:jc w:val="center"/>
              <w:textAlignment w:val="auto"/>
              <w:rPr>
                <w:rFonts w:hint="default" w:ascii="宋体"/>
                <w:color w:val="000000"/>
                <w:sz w:val="21"/>
                <w:szCs w:val="21"/>
              </w:rPr>
            </w:pPr>
            <w:r>
              <w:rPr>
                <w:rFonts w:hint="eastAsia" w:ascii="宋体" w:hAnsi="宋体"/>
                <w:color w:val="000000"/>
                <w:sz w:val="21"/>
                <w:szCs w:val="21"/>
              </w:rPr>
              <w:t>财务方案</w:t>
            </w:r>
          </w:p>
          <w:p>
            <w:pPr>
              <w:keepNext w:val="0"/>
              <w:keepLines w:val="0"/>
              <w:pageBreakBefore w:val="0"/>
              <w:suppressLineNumbers w:val="0"/>
              <w:kinsoku/>
              <w:bidi w:val="0"/>
              <w:spacing w:before="0" w:beforeAutospacing="0" w:after="0" w:afterAutospacing="0" w:line="360" w:lineRule="auto"/>
              <w:ind w:left="0" w:leftChars="0" w:right="0" w:firstLine="0" w:firstLineChars="0"/>
              <w:jc w:val="center"/>
              <w:textAlignment w:val="auto"/>
              <w:rPr>
                <w:rFonts w:hint="default" w:ascii="宋体"/>
                <w:color w:val="000000"/>
                <w:sz w:val="21"/>
                <w:szCs w:val="21"/>
              </w:rPr>
            </w:pPr>
            <w:r>
              <w:rPr>
                <w:rFonts w:hint="default" w:ascii="宋体" w:hAnsi="宋体"/>
                <w:color w:val="000000"/>
                <w:sz w:val="21"/>
                <w:szCs w:val="21"/>
              </w:rPr>
              <w:t>20</w:t>
            </w:r>
            <w:r>
              <w:rPr>
                <w:rFonts w:hint="eastAsia" w:ascii="宋体" w:hAnsi="宋体"/>
                <w:color w:val="000000"/>
                <w:sz w:val="21"/>
                <w:szCs w:val="21"/>
              </w:rPr>
              <w:t>分</w:t>
            </w:r>
          </w:p>
        </w:tc>
        <w:tc>
          <w:tcPr>
            <w:tcW w:w="2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ascii="宋体"/>
                <w:color w:val="000000"/>
                <w:sz w:val="21"/>
                <w:szCs w:val="21"/>
              </w:rPr>
            </w:pPr>
            <w:r>
              <w:rPr>
                <w:rFonts w:hint="default" w:ascii="宋体" w:hAnsi="宋体"/>
                <w:color w:val="000000"/>
                <w:sz w:val="21"/>
                <w:szCs w:val="21"/>
              </w:rPr>
              <w:t>1</w:t>
            </w:r>
            <w:r>
              <w:rPr>
                <w:rFonts w:hint="eastAsia" w:ascii="宋体" w:hAnsi="宋体"/>
                <w:color w:val="000000"/>
                <w:sz w:val="21"/>
                <w:szCs w:val="21"/>
              </w:rPr>
              <w:t>、筹资方案</w:t>
            </w:r>
          </w:p>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ascii="宋体"/>
                <w:color w:val="000000"/>
                <w:sz w:val="21"/>
                <w:szCs w:val="21"/>
              </w:rPr>
            </w:pPr>
            <w:r>
              <w:rPr>
                <w:rFonts w:hint="eastAsia" w:ascii="宋体" w:hAnsi="宋体"/>
                <w:color w:val="000000"/>
                <w:sz w:val="21"/>
                <w:szCs w:val="21"/>
              </w:rPr>
              <w:t>（此项满分</w:t>
            </w:r>
            <w:r>
              <w:rPr>
                <w:rFonts w:hint="default" w:ascii="宋体" w:hAnsi="宋体"/>
                <w:color w:val="000000"/>
                <w:sz w:val="21"/>
                <w:szCs w:val="21"/>
              </w:rPr>
              <w:t>9</w:t>
            </w:r>
            <w:r>
              <w:rPr>
                <w:rFonts w:hint="eastAsia" w:ascii="宋体" w:hAnsi="宋体"/>
                <w:color w:val="000000"/>
                <w:sz w:val="21"/>
                <w:szCs w:val="21"/>
              </w:rPr>
              <w:t>分）</w:t>
            </w:r>
          </w:p>
        </w:tc>
        <w:tc>
          <w:tcPr>
            <w:tcW w:w="5232"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suppressLineNumbers w:val="0"/>
              <w:kinsoku/>
              <w:autoSpaceDE w:val="0"/>
              <w:autoSpaceDN w:val="0"/>
              <w:bidi w:val="0"/>
              <w:adjustRightInd w:val="0"/>
              <w:spacing w:before="50" w:beforeAutospacing="0" w:after="0" w:afterAutospacing="0" w:line="360" w:lineRule="auto"/>
              <w:ind w:left="76" w:leftChars="32" w:right="96" w:rightChars="0"/>
              <w:textAlignment w:val="auto"/>
              <w:rPr>
                <w:rFonts w:hint="eastAsia" w:ascii="宋体" w:eastAsia="宋体"/>
                <w:color w:val="000000"/>
                <w:sz w:val="21"/>
                <w:szCs w:val="21"/>
                <w:lang w:val="en-US" w:eastAsia="zh-CN"/>
              </w:rPr>
            </w:pPr>
            <w:r>
              <w:rPr>
                <w:rFonts w:hint="eastAsia" w:ascii="宋体"/>
                <w:color w:val="000000"/>
                <w:sz w:val="21"/>
                <w:szCs w:val="21"/>
                <w:lang w:val="en-US" w:eastAsia="zh-CN"/>
              </w:rPr>
              <w:t>自有和债务资金来源落实。按可靠性、合理性评分0—9分。（满分9分）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09" w:type="dxa"/>
            <w:vMerge w:val="continue"/>
            <w:tcBorders>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textAlignment w:val="auto"/>
              <w:rPr>
                <w:rFonts w:hint="default" w:ascii="宋体"/>
                <w:color w:val="000000"/>
                <w:sz w:val="21"/>
                <w:szCs w:val="21"/>
              </w:rPr>
            </w:pPr>
          </w:p>
        </w:tc>
        <w:tc>
          <w:tcPr>
            <w:tcW w:w="1255" w:type="dxa"/>
            <w:vMerge w:val="continue"/>
            <w:tcBorders>
              <w:left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jc w:val="center"/>
              <w:textAlignment w:val="auto"/>
              <w:rPr>
                <w:rFonts w:hint="default" w:ascii="宋体"/>
                <w:color w:val="000000"/>
                <w:sz w:val="21"/>
                <w:szCs w:val="21"/>
              </w:rPr>
            </w:pPr>
          </w:p>
        </w:tc>
        <w:tc>
          <w:tcPr>
            <w:tcW w:w="2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ascii="宋体"/>
                <w:color w:val="000000"/>
                <w:sz w:val="21"/>
                <w:szCs w:val="21"/>
              </w:rPr>
            </w:pPr>
            <w:r>
              <w:rPr>
                <w:rFonts w:hint="default" w:ascii="宋体" w:hAnsi="宋体"/>
                <w:color w:val="000000"/>
                <w:sz w:val="21"/>
                <w:szCs w:val="21"/>
              </w:rPr>
              <w:t>2</w:t>
            </w:r>
            <w:r>
              <w:rPr>
                <w:rFonts w:hint="eastAsia" w:ascii="宋体" w:hAnsi="宋体"/>
                <w:color w:val="000000"/>
                <w:sz w:val="21"/>
                <w:szCs w:val="21"/>
              </w:rPr>
              <w:t>、资金使用</w:t>
            </w:r>
          </w:p>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ascii="宋体"/>
                <w:color w:val="000000"/>
                <w:sz w:val="21"/>
                <w:szCs w:val="21"/>
              </w:rPr>
            </w:pPr>
            <w:r>
              <w:rPr>
                <w:rFonts w:hint="eastAsia" w:ascii="宋体" w:hAnsi="宋体"/>
                <w:color w:val="000000"/>
                <w:sz w:val="21"/>
                <w:szCs w:val="21"/>
              </w:rPr>
              <w:t>（此项满分</w:t>
            </w:r>
            <w:r>
              <w:rPr>
                <w:rFonts w:hint="default" w:ascii="宋体" w:hAnsi="宋体"/>
                <w:color w:val="000000"/>
                <w:sz w:val="21"/>
                <w:szCs w:val="21"/>
              </w:rPr>
              <w:t>2</w:t>
            </w:r>
            <w:r>
              <w:rPr>
                <w:rFonts w:hint="eastAsia" w:ascii="宋体" w:hAnsi="宋体"/>
                <w:color w:val="000000"/>
                <w:sz w:val="21"/>
                <w:szCs w:val="21"/>
              </w:rPr>
              <w:t>分）</w:t>
            </w:r>
          </w:p>
        </w:tc>
        <w:tc>
          <w:tcPr>
            <w:tcW w:w="5232"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76" w:leftChars="32" w:right="96" w:firstLine="0" w:firstLineChars="0"/>
              <w:jc w:val="left"/>
              <w:textAlignment w:val="auto"/>
              <w:rPr>
                <w:rFonts w:hint="default" w:ascii="宋体"/>
                <w:color w:val="000000"/>
                <w:sz w:val="21"/>
                <w:szCs w:val="21"/>
              </w:rPr>
            </w:pPr>
            <w:r>
              <w:rPr>
                <w:rFonts w:hint="eastAsia" w:ascii="宋体" w:hAnsi="宋体"/>
                <w:color w:val="000000"/>
                <w:sz w:val="21"/>
                <w:szCs w:val="21"/>
              </w:rPr>
              <w:t>资金使用计划合理、能满足项目建设进度要求，按合理性、符合性评分</w:t>
            </w:r>
            <w:r>
              <w:rPr>
                <w:rFonts w:hint="default" w:ascii="宋体" w:hAnsi="宋体"/>
                <w:color w:val="000000"/>
                <w:sz w:val="21"/>
                <w:szCs w:val="21"/>
              </w:rPr>
              <w:t>0-2</w:t>
            </w:r>
            <w:r>
              <w:rPr>
                <w:rFonts w:hint="eastAsia" w:ascii="宋体" w:hAnsi="宋体"/>
                <w:color w:val="000000"/>
                <w:sz w:val="21"/>
                <w:szCs w:val="21"/>
              </w:rPr>
              <w:t>分。（满分</w:t>
            </w:r>
            <w:r>
              <w:rPr>
                <w:rFonts w:hint="default" w:ascii="宋体" w:hAnsi="宋体"/>
                <w:color w:val="000000"/>
                <w:sz w:val="21"/>
                <w:szCs w:val="21"/>
              </w:rPr>
              <w:t>2</w:t>
            </w:r>
            <w:r>
              <w:rPr>
                <w:rFonts w:hint="eastAsia" w:ascii="宋体" w:hAnsi="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909" w:type="dxa"/>
            <w:vMerge w:val="continue"/>
            <w:tcBorders>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textAlignment w:val="auto"/>
              <w:rPr>
                <w:rFonts w:hint="default" w:ascii="宋体"/>
                <w:color w:val="000000"/>
                <w:sz w:val="21"/>
                <w:szCs w:val="21"/>
              </w:rPr>
            </w:pPr>
          </w:p>
        </w:tc>
        <w:tc>
          <w:tcPr>
            <w:tcW w:w="1255" w:type="dxa"/>
            <w:vMerge w:val="continue"/>
            <w:tcBorders>
              <w:left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jc w:val="center"/>
              <w:textAlignment w:val="auto"/>
              <w:rPr>
                <w:rFonts w:hint="default" w:ascii="宋体"/>
                <w:color w:val="000000"/>
                <w:sz w:val="21"/>
                <w:szCs w:val="21"/>
              </w:rPr>
            </w:pPr>
          </w:p>
        </w:tc>
        <w:tc>
          <w:tcPr>
            <w:tcW w:w="2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ascii="宋体"/>
                <w:color w:val="000000"/>
                <w:sz w:val="21"/>
                <w:szCs w:val="21"/>
              </w:rPr>
            </w:pPr>
            <w:r>
              <w:rPr>
                <w:rFonts w:hint="default" w:ascii="宋体" w:hAnsi="宋体"/>
                <w:color w:val="000000"/>
                <w:sz w:val="21"/>
                <w:szCs w:val="21"/>
              </w:rPr>
              <w:t>3</w:t>
            </w:r>
            <w:r>
              <w:rPr>
                <w:rFonts w:hint="eastAsia" w:ascii="宋体" w:hAnsi="宋体"/>
                <w:color w:val="000000"/>
                <w:sz w:val="21"/>
                <w:szCs w:val="21"/>
              </w:rPr>
              <w:t>、投资分析</w:t>
            </w:r>
          </w:p>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ascii="宋体"/>
                <w:color w:val="000000"/>
                <w:sz w:val="21"/>
                <w:szCs w:val="21"/>
              </w:rPr>
            </w:pPr>
            <w:r>
              <w:rPr>
                <w:rFonts w:hint="eastAsia" w:ascii="宋体" w:hAnsi="宋体"/>
                <w:color w:val="000000"/>
                <w:sz w:val="21"/>
                <w:szCs w:val="21"/>
              </w:rPr>
              <w:t>（此项满分</w:t>
            </w:r>
            <w:r>
              <w:rPr>
                <w:rFonts w:hint="default" w:ascii="宋体" w:hAnsi="宋体"/>
                <w:color w:val="000000"/>
                <w:sz w:val="21"/>
                <w:szCs w:val="21"/>
              </w:rPr>
              <w:t>4</w:t>
            </w:r>
            <w:r>
              <w:rPr>
                <w:rFonts w:hint="eastAsia" w:ascii="宋体" w:hAnsi="宋体"/>
                <w:color w:val="000000"/>
                <w:sz w:val="21"/>
                <w:szCs w:val="21"/>
              </w:rPr>
              <w:t>分）</w:t>
            </w:r>
          </w:p>
        </w:tc>
        <w:tc>
          <w:tcPr>
            <w:tcW w:w="5232"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76" w:leftChars="32" w:right="96" w:firstLine="0" w:firstLineChars="0"/>
              <w:jc w:val="left"/>
              <w:textAlignment w:val="auto"/>
              <w:rPr>
                <w:rFonts w:hint="default" w:ascii="宋体"/>
                <w:color w:val="000000"/>
                <w:sz w:val="21"/>
                <w:szCs w:val="21"/>
              </w:rPr>
            </w:pPr>
            <w:r>
              <w:rPr>
                <w:rFonts w:hint="eastAsia" w:ascii="宋体" w:hAnsi="宋体"/>
                <w:color w:val="000000"/>
                <w:sz w:val="21"/>
                <w:szCs w:val="21"/>
                <w:lang w:val="en-US" w:eastAsia="zh-CN"/>
              </w:rPr>
              <w:t>收入及成本费用构成和测算数据，按合理性评分0—4分。</w:t>
            </w:r>
            <w:r>
              <w:rPr>
                <w:rFonts w:hint="eastAsia" w:ascii="宋体" w:hAnsi="宋体"/>
                <w:color w:val="000000"/>
                <w:sz w:val="21"/>
                <w:szCs w:val="21"/>
              </w:rPr>
              <w:t>（满分</w:t>
            </w:r>
            <w:r>
              <w:rPr>
                <w:rFonts w:hint="default" w:ascii="宋体" w:hAnsi="宋体"/>
                <w:color w:val="000000"/>
                <w:sz w:val="21"/>
                <w:szCs w:val="21"/>
              </w:rPr>
              <w:t>4</w:t>
            </w:r>
            <w:r>
              <w:rPr>
                <w:rFonts w:hint="eastAsia" w:ascii="宋体" w:hAnsi="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15" w:hRule="atLeast"/>
          <w:jc w:val="center"/>
        </w:trPr>
        <w:tc>
          <w:tcPr>
            <w:tcW w:w="909" w:type="dxa"/>
            <w:vMerge w:val="continue"/>
            <w:tcBorders>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textAlignment w:val="auto"/>
              <w:rPr>
                <w:rFonts w:hint="default" w:ascii="宋体"/>
                <w:color w:val="000000"/>
                <w:sz w:val="21"/>
                <w:szCs w:val="21"/>
              </w:rPr>
            </w:pPr>
          </w:p>
        </w:tc>
        <w:tc>
          <w:tcPr>
            <w:tcW w:w="1255" w:type="dxa"/>
            <w:vMerge w:val="continue"/>
            <w:tcBorders>
              <w:left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420" w:right="0" w:firstLine="0" w:firstLineChars="0"/>
              <w:jc w:val="center"/>
              <w:textAlignment w:val="auto"/>
              <w:rPr>
                <w:rFonts w:hint="default" w:ascii="宋体"/>
                <w:color w:val="000000"/>
                <w:sz w:val="21"/>
                <w:szCs w:val="21"/>
              </w:rPr>
            </w:pPr>
          </w:p>
        </w:tc>
        <w:tc>
          <w:tcPr>
            <w:tcW w:w="2143"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ascii="宋体"/>
                <w:color w:val="000000"/>
                <w:sz w:val="21"/>
                <w:szCs w:val="21"/>
              </w:rPr>
            </w:pPr>
            <w:r>
              <w:rPr>
                <w:rFonts w:hint="default" w:ascii="宋体" w:hAnsi="宋体"/>
                <w:color w:val="000000"/>
                <w:sz w:val="21"/>
                <w:szCs w:val="21"/>
              </w:rPr>
              <w:t>4</w:t>
            </w:r>
            <w:r>
              <w:rPr>
                <w:rFonts w:hint="eastAsia" w:ascii="宋体" w:hAnsi="宋体"/>
                <w:color w:val="000000"/>
                <w:sz w:val="21"/>
                <w:szCs w:val="21"/>
              </w:rPr>
              <w:t>、降低融资风险措施</w:t>
            </w:r>
          </w:p>
          <w:p>
            <w:pPr>
              <w:keepNext w:val="0"/>
              <w:keepLines w:val="0"/>
              <w:pageBreakBefore w:val="0"/>
              <w:suppressLineNumbers w:val="0"/>
              <w:kinsoku/>
              <w:autoSpaceDE w:val="0"/>
              <w:autoSpaceDN w:val="0"/>
              <w:bidi w:val="0"/>
              <w:adjustRightInd w:val="0"/>
              <w:spacing w:before="50" w:beforeAutospacing="0" w:after="0" w:afterAutospacing="0" w:line="360" w:lineRule="auto"/>
              <w:ind w:left="68" w:right="96" w:firstLine="0" w:firstLineChars="0"/>
              <w:jc w:val="center"/>
              <w:textAlignment w:val="auto"/>
              <w:rPr>
                <w:rFonts w:hint="default" w:ascii="宋体"/>
                <w:color w:val="000000"/>
                <w:sz w:val="21"/>
                <w:szCs w:val="21"/>
              </w:rPr>
            </w:pPr>
            <w:r>
              <w:rPr>
                <w:rFonts w:hint="eastAsia" w:ascii="宋体" w:hAnsi="宋体"/>
                <w:color w:val="000000"/>
                <w:sz w:val="21"/>
                <w:szCs w:val="21"/>
              </w:rPr>
              <w:t>（此项满分</w:t>
            </w:r>
            <w:r>
              <w:rPr>
                <w:rFonts w:hint="default" w:ascii="宋体" w:hAnsi="宋体"/>
                <w:color w:val="000000"/>
                <w:sz w:val="21"/>
                <w:szCs w:val="21"/>
              </w:rPr>
              <w:t>5</w:t>
            </w:r>
            <w:r>
              <w:rPr>
                <w:rFonts w:hint="eastAsia" w:ascii="宋体" w:hAnsi="宋体"/>
                <w:color w:val="000000"/>
                <w:sz w:val="21"/>
                <w:szCs w:val="21"/>
              </w:rPr>
              <w:t>分）</w:t>
            </w:r>
          </w:p>
        </w:tc>
        <w:tc>
          <w:tcPr>
            <w:tcW w:w="5232"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autoSpaceDE w:val="0"/>
              <w:autoSpaceDN w:val="0"/>
              <w:bidi w:val="0"/>
              <w:adjustRightInd w:val="0"/>
              <w:spacing w:before="50" w:beforeAutospacing="0" w:after="0" w:afterAutospacing="0" w:line="360" w:lineRule="auto"/>
              <w:ind w:left="76" w:leftChars="32" w:right="96" w:firstLine="0" w:firstLineChars="0"/>
              <w:jc w:val="left"/>
              <w:textAlignment w:val="auto"/>
              <w:rPr>
                <w:rFonts w:hint="default" w:ascii="宋体"/>
                <w:color w:val="000000"/>
                <w:sz w:val="21"/>
                <w:szCs w:val="21"/>
              </w:rPr>
            </w:pPr>
            <w:r>
              <w:rPr>
                <w:rFonts w:hint="eastAsia" w:ascii="宋体" w:hAnsi="宋体"/>
                <w:color w:val="000000"/>
                <w:sz w:val="21"/>
                <w:szCs w:val="21"/>
              </w:rPr>
              <w:t>降低本项目融资风险的其他有效措施，根据投标人所列措施对降低本项目融资风险的作用给予综合评分，</w:t>
            </w:r>
            <w:r>
              <w:rPr>
                <w:rFonts w:hint="default" w:ascii="宋体" w:hAnsi="宋体"/>
                <w:color w:val="000000"/>
                <w:sz w:val="21"/>
                <w:szCs w:val="21"/>
              </w:rPr>
              <w:t>0-5</w:t>
            </w:r>
            <w:r>
              <w:rPr>
                <w:rFonts w:hint="eastAsia" w:ascii="宋体" w:hAnsi="宋体"/>
                <w:color w:val="000000"/>
                <w:sz w:val="21"/>
                <w:szCs w:val="21"/>
              </w:rPr>
              <w:t>分。（满分</w:t>
            </w:r>
            <w:r>
              <w:rPr>
                <w:rFonts w:hint="default" w:ascii="宋体" w:hAnsi="宋体"/>
                <w:color w:val="000000"/>
                <w:sz w:val="21"/>
                <w:szCs w:val="21"/>
              </w:rPr>
              <w:t>5</w:t>
            </w:r>
            <w:r>
              <w:rPr>
                <w:rFonts w:hint="eastAsia" w:ascii="宋体" w:hAnsi="宋体"/>
                <w:color w:val="000000"/>
                <w:sz w:val="21"/>
                <w:szCs w:val="21"/>
              </w:rPr>
              <w:t>分）</w:t>
            </w:r>
          </w:p>
        </w:tc>
      </w:tr>
    </w:tbl>
    <w:p>
      <w:pPr>
        <w:pStyle w:val="58"/>
        <w:pageBreakBefore w:val="0"/>
        <w:numPr>
          <w:ilvl w:val="1"/>
          <w:numId w:val="0"/>
        </w:numPr>
        <w:kinsoku/>
        <w:bidi w:val="0"/>
        <w:spacing w:line="360" w:lineRule="auto"/>
        <w:ind w:leftChars="0"/>
        <w:textAlignment w:val="auto"/>
      </w:pPr>
      <w:bookmarkStart w:id="108" w:name="_Toc437271289"/>
      <w:r>
        <w:rPr>
          <w:rFonts w:hint="eastAsia"/>
          <w:lang w:val="en-US" w:eastAsia="zh-CN"/>
        </w:rPr>
        <w:t>1.</w:t>
      </w:r>
      <w:r>
        <w:rPr>
          <w:rFonts w:hint="eastAsia"/>
        </w:rPr>
        <w:t>评审方法</w:t>
      </w:r>
      <w:bookmarkEnd w:id="108"/>
    </w:p>
    <w:p>
      <w:pPr>
        <w:pageBreakBefore w:val="0"/>
        <w:kinsoku/>
        <w:bidi w:val="0"/>
        <w:spacing w:line="360" w:lineRule="auto"/>
        <w:ind w:firstLine="480"/>
        <w:textAlignment w:val="auto"/>
      </w:pPr>
      <w:r>
        <w:rPr>
          <w:rFonts w:hint="eastAsia"/>
        </w:rPr>
        <w:t>本次评审采用综合评分法。评审小组对满足采购文件合部实质性要求的投标文件，按照本章规定的评审标准进行评审，按评审因素的量化指标评审得分由高到低顺序推荐候选投标人排名。评审得分相同的，按照最后报价由低到高的顺序推荐。</w:t>
      </w:r>
    </w:p>
    <w:p>
      <w:pPr>
        <w:pStyle w:val="58"/>
        <w:pageBreakBefore w:val="0"/>
        <w:numPr>
          <w:ilvl w:val="1"/>
          <w:numId w:val="0"/>
        </w:numPr>
        <w:kinsoku/>
        <w:bidi w:val="0"/>
        <w:spacing w:line="360" w:lineRule="auto"/>
        <w:ind w:leftChars="0"/>
        <w:textAlignment w:val="auto"/>
      </w:pPr>
      <w:bookmarkStart w:id="109" w:name="_Toc437271290"/>
      <w:r>
        <w:rPr>
          <w:rFonts w:hint="eastAsia"/>
          <w:lang w:val="en-US" w:eastAsia="zh-CN"/>
        </w:rPr>
        <w:t>2.</w:t>
      </w:r>
      <w:r>
        <w:rPr>
          <w:rFonts w:hint="eastAsia"/>
        </w:rPr>
        <w:t>评审程序</w:t>
      </w:r>
      <w:bookmarkEnd w:id="109"/>
    </w:p>
    <w:p>
      <w:pPr>
        <w:pageBreakBefore w:val="0"/>
        <w:kinsoku/>
        <w:bidi w:val="0"/>
        <w:spacing w:line="360" w:lineRule="auto"/>
        <w:ind w:firstLine="0" w:firstLineChars="0"/>
        <w:textAlignment w:val="auto"/>
      </w:pPr>
      <w:r>
        <w:rPr>
          <w:rFonts w:hint="eastAsia"/>
        </w:rPr>
        <w:t>2.1</w:t>
      </w:r>
      <w:r>
        <w:rPr>
          <w:rFonts w:hint="eastAsia"/>
        </w:rPr>
        <w:tab/>
      </w:r>
      <w:r>
        <w:t xml:space="preserve"> </w:t>
      </w:r>
      <w:r>
        <w:rPr>
          <w:rFonts w:hint="eastAsia"/>
        </w:rPr>
        <w:t>评审工作按以下程序进行：</w:t>
      </w:r>
    </w:p>
    <w:p>
      <w:pPr>
        <w:pageBreakBefore w:val="0"/>
        <w:kinsoku/>
        <w:bidi w:val="0"/>
        <w:spacing w:line="360" w:lineRule="auto"/>
        <w:ind w:firstLine="480"/>
        <w:textAlignment w:val="auto"/>
      </w:pPr>
      <w:r>
        <w:rPr>
          <w:rFonts w:hint="eastAsia"/>
        </w:rPr>
        <w:t>（1）投标文件初审；</w:t>
      </w:r>
    </w:p>
    <w:p>
      <w:pPr>
        <w:pageBreakBefore w:val="0"/>
        <w:kinsoku/>
        <w:bidi w:val="0"/>
        <w:spacing w:line="360" w:lineRule="auto"/>
        <w:ind w:firstLine="480"/>
        <w:textAlignment w:val="auto"/>
      </w:pPr>
      <w:r>
        <w:rPr>
          <w:rFonts w:hint="eastAsia"/>
        </w:rPr>
        <w:t>（2）澄清有关问题；</w:t>
      </w:r>
    </w:p>
    <w:p>
      <w:pPr>
        <w:pageBreakBefore w:val="0"/>
        <w:kinsoku/>
        <w:bidi w:val="0"/>
        <w:spacing w:line="360" w:lineRule="auto"/>
        <w:ind w:firstLine="480"/>
        <w:textAlignment w:val="auto"/>
      </w:pPr>
      <w:r>
        <w:rPr>
          <w:rFonts w:hint="eastAsia"/>
        </w:rPr>
        <w:t>（3）比较与评价；</w:t>
      </w:r>
    </w:p>
    <w:p>
      <w:pPr>
        <w:pageBreakBefore w:val="0"/>
        <w:kinsoku/>
        <w:bidi w:val="0"/>
        <w:spacing w:line="360" w:lineRule="auto"/>
        <w:ind w:firstLine="480"/>
        <w:textAlignment w:val="auto"/>
      </w:pPr>
      <w:r>
        <w:rPr>
          <w:rFonts w:hint="eastAsia"/>
        </w:rPr>
        <w:t>（4）推荐中标候选人名单。</w:t>
      </w:r>
    </w:p>
    <w:p>
      <w:pPr>
        <w:pageBreakBefore w:val="0"/>
        <w:kinsoku/>
        <w:bidi w:val="0"/>
        <w:spacing w:line="360" w:lineRule="auto"/>
        <w:ind w:firstLine="0" w:firstLineChars="0"/>
        <w:textAlignment w:val="auto"/>
        <w:rPr>
          <w:rFonts w:hint="eastAsia"/>
        </w:rPr>
      </w:pPr>
      <w:r>
        <w:rPr>
          <w:rFonts w:hint="eastAsia"/>
        </w:rPr>
        <w:t>2.1</w:t>
      </w:r>
      <w:r>
        <w:rPr>
          <w:rFonts w:hint="eastAsia"/>
        </w:rPr>
        <w:tab/>
      </w:r>
      <w:r>
        <w:rPr>
          <w:rFonts w:hint="eastAsia"/>
        </w:rPr>
        <w:t>评审小组按照上述程序审查投标人的投标文件，评审程序中的前一项程序未通过的投标文件不再进入下一程序的评审。</w:t>
      </w:r>
      <w:bookmarkStart w:id="110" w:name="_Toc437271291"/>
    </w:p>
    <w:p>
      <w:pPr>
        <w:pageBreakBefore w:val="0"/>
        <w:kinsoku/>
        <w:bidi w:val="0"/>
        <w:spacing w:line="360" w:lineRule="auto"/>
        <w:ind w:firstLine="0" w:firstLineChars="0"/>
        <w:textAlignment w:val="auto"/>
        <w:rPr>
          <w:b/>
          <w:bCs/>
        </w:rPr>
      </w:pPr>
      <w:r>
        <w:rPr>
          <w:rFonts w:hint="eastAsia"/>
          <w:b/>
          <w:bCs/>
          <w:lang w:val="en-US" w:eastAsia="zh-CN"/>
        </w:rPr>
        <w:t>3.</w:t>
      </w:r>
      <w:r>
        <w:rPr>
          <w:rFonts w:hint="eastAsia"/>
          <w:b/>
          <w:bCs/>
        </w:rPr>
        <w:t>投标文件初审</w:t>
      </w:r>
      <w:bookmarkEnd w:id="110"/>
    </w:p>
    <w:p>
      <w:pPr>
        <w:pageBreakBefore w:val="0"/>
        <w:kinsoku/>
        <w:bidi w:val="0"/>
        <w:spacing w:line="360" w:lineRule="auto"/>
        <w:ind w:firstLine="480"/>
        <w:textAlignment w:val="auto"/>
        <w:rPr>
          <w:rFonts w:hint="eastAsia"/>
        </w:rPr>
      </w:pPr>
      <w:r>
        <w:rPr>
          <w:rFonts w:hint="eastAsia"/>
        </w:rPr>
        <w:t>投标文件的初审分为形式评审标准、资格性检查评审标准和符合性检查评审标准。</w:t>
      </w:r>
      <w:bookmarkStart w:id="111" w:name="_Toc437271292"/>
    </w:p>
    <w:p>
      <w:pPr>
        <w:pageBreakBefore w:val="0"/>
        <w:kinsoku/>
        <w:bidi w:val="0"/>
        <w:spacing w:line="360" w:lineRule="auto"/>
        <w:ind w:left="0" w:leftChars="0" w:firstLine="0" w:firstLineChars="0"/>
        <w:textAlignment w:val="auto"/>
      </w:pPr>
      <w:r>
        <w:rPr>
          <w:rFonts w:hint="eastAsia"/>
          <w:lang w:val="en-US" w:eastAsia="zh-CN"/>
        </w:rPr>
        <w:t>3.1</w:t>
      </w:r>
      <w:r>
        <w:rPr>
          <w:rFonts w:hint="eastAsia"/>
        </w:rPr>
        <w:t>形式评审标准</w:t>
      </w:r>
      <w:bookmarkEnd w:id="111"/>
    </w:p>
    <w:p>
      <w:pPr>
        <w:pageBreakBefore w:val="0"/>
        <w:kinsoku/>
        <w:bidi w:val="0"/>
        <w:adjustRightInd w:val="0"/>
        <w:snapToGrid w:val="0"/>
        <w:spacing w:line="360" w:lineRule="auto"/>
        <w:ind w:left="0" w:leftChars="0" w:firstLine="420" w:firstLineChars="0"/>
        <w:textAlignment w:val="auto"/>
        <w:rPr>
          <w:rFonts w:hint="eastAsia" w:ascii="宋体" w:hAnsi="宋体"/>
          <w:szCs w:val="21"/>
        </w:rPr>
      </w:pPr>
      <w:r>
        <w:rPr>
          <w:rFonts w:hint="eastAsia" w:ascii="宋体" w:hAnsi="宋体"/>
          <w:szCs w:val="21"/>
        </w:rPr>
        <w:t>评审小组根据评标办法前附表中规定的评审因素和评审标准，对投标人的投标文件进行形式评审，并记录评审结果。</w:t>
      </w:r>
      <w:bookmarkStart w:id="112" w:name="_Toc437271293"/>
    </w:p>
    <w:p>
      <w:pPr>
        <w:pageBreakBefore w:val="0"/>
        <w:kinsoku/>
        <w:bidi w:val="0"/>
        <w:adjustRightInd w:val="0"/>
        <w:snapToGrid w:val="0"/>
        <w:spacing w:line="360" w:lineRule="auto"/>
        <w:ind w:left="0" w:leftChars="0" w:firstLine="0" w:firstLineChars="0"/>
        <w:textAlignment w:val="auto"/>
        <w:rPr>
          <w:rFonts w:hint="eastAsia"/>
        </w:rPr>
      </w:pPr>
      <w:r>
        <w:rPr>
          <w:rFonts w:hint="eastAsia"/>
          <w:lang w:val="en-US" w:eastAsia="zh-CN"/>
        </w:rPr>
        <w:t>3.2</w:t>
      </w:r>
      <w:r>
        <w:rPr>
          <w:rFonts w:hint="eastAsia"/>
        </w:rPr>
        <w:t>资格性检查评审标准</w:t>
      </w:r>
      <w:bookmarkEnd w:id="112"/>
    </w:p>
    <w:p>
      <w:pPr>
        <w:pageBreakBefore w:val="0"/>
        <w:kinsoku/>
        <w:bidi w:val="0"/>
        <w:adjustRightInd w:val="0"/>
        <w:snapToGrid w:val="0"/>
        <w:spacing w:line="360" w:lineRule="auto"/>
        <w:ind w:left="0" w:leftChars="0" w:firstLine="420" w:firstLineChars="0"/>
        <w:textAlignment w:val="auto"/>
        <w:rPr>
          <w:rFonts w:hint="eastAsia"/>
        </w:rPr>
      </w:pPr>
      <w:r>
        <w:rPr>
          <w:rFonts w:hint="eastAsia"/>
          <w:lang w:val="en-US" w:eastAsia="zh-CN"/>
        </w:rPr>
        <w:t>3.2.1</w:t>
      </w:r>
      <w:r>
        <w:rPr>
          <w:rFonts w:hint="eastAsia"/>
        </w:rPr>
        <w:t>依据法律法规和采购文件的规定，对投标文件中的资格证明、投标保证金等进行审查，以确定投标人是否具备投标资格。资格性检查评审标准：见评审方法前附表。</w:t>
      </w:r>
    </w:p>
    <w:p>
      <w:pPr>
        <w:pageBreakBefore w:val="0"/>
        <w:kinsoku/>
        <w:bidi w:val="0"/>
        <w:adjustRightInd w:val="0"/>
        <w:snapToGrid w:val="0"/>
        <w:spacing w:line="360" w:lineRule="auto"/>
        <w:ind w:left="0" w:leftChars="0" w:firstLine="420" w:firstLineChars="0"/>
        <w:textAlignment w:val="auto"/>
        <w:rPr>
          <w:rFonts w:hint="eastAsia"/>
        </w:rPr>
      </w:pPr>
      <w:r>
        <w:rPr>
          <w:rFonts w:hint="eastAsia"/>
          <w:lang w:val="en-US" w:eastAsia="zh-CN"/>
        </w:rPr>
        <w:t>3.2.2</w:t>
      </w:r>
      <w:r>
        <w:rPr>
          <w:rFonts w:hint="eastAsia"/>
        </w:rPr>
        <w:t>当投标人资格预审申请文件的内容发生重大变化时，评审小组依据资格预审文件规定的审查标准对其更新资料进行评审。有一项不符合审查标准的，投标文件将不进入下一步评审。</w:t>
      </w:r>
      <w:bookmarkStart w:id="113" w:name="_Toc437271294"/>
    </w:p>
    <w:p>
      <w:pPr>
        <w:pageBreakBefore w:val="0"/>
        <w:kinsoku/>
        <w:bidi w:val="0"/>
        <w:adjustRightInd w:val="0"/>
        <w:snapToGrid w:val="0"/>
        <w:spacing w:line="360" w:lineRule="auto"/>
        <w:ind w:left="0" w:leftChars="0" w:firstLine="0" w:firstLineChars="0"/>
        <w:textAlignment w:val="auto"/>
        <w:rPr>
          <w:rFonts w:hint="eastAsia"/>
        </w:rPr>
      </w:pPr>
      <w:r>
        <w:rPr>
          <w:rFonts w:hint="eastAsia"/>
          <w:lang w:val="en-US" w:eastAsia="zh-CN"/>
        </w:rPr>
        <w:t>3.3</w:t>
      </w:r>
      <w:r>
        <w:rPr>
          <w:rFonts w:hint="eastAsia"/>
        </w:rPr>
        <w:t>符合性检查评审标准</w:t>
      </w:r>
      <w:bookmarkEnd w:id="113"/>
    </w:p>
    <w:p>
      <w:pPr>
        <w:pageBreakBefore w:val="0"/>
        <w:kinsoku/>
        <w:bidi w:val="0"/>
        <w:adjustRightInd w:val="0"/>
        <w:snapToGrid w:val="0"/>
        <w:spacing w:line="360" w:lineRule="auto"/>
        <w:ind w:left="0" w:leftChars="0" w:firstLine="420" w:firstLineChars="0"/>
        <w:textAlignment w:val="auto"/>
        <w:rPr>
          <w:rFonts w:hint="eastAsia"/>
        </w:rPr>
      </w:pPr>
      <w:r>
        <w:rPr>
          <w:rFonts w:hint="eastAsia"/>
        </w:rPr>
        <w:t>依据招标文件的规定，从投标文件的有效性、完整性和对招标文件的响应程度进行审查，以确定是否对招标文件的实质性要求作出响应。符合性检查评审标准：见评审方法前附表。</w:t>
      </w:r>
      <w:bookmarkStart w:id="114" w:name="_Toc437271295"/>
    </w:p>
    <w:p>
      <w:pPr>
        <w:pageBreakBefore w:val="0"/>
        <w:kinsoku/>
        <w:bidi w:val="0"/>
        <w:adjustRightInd w:val="0"/>
        <w:snapToGrid w:val="0"/>
        <w:spacing w:line="360" w:lineRule="auto"/>
        <w:ind w:left="0" w:leftChars="0" w:firstLine="0" w:firstLineChars="0"/>
        <w:textAlignment w:val="auto"/>
      </w:pPr>
      <w:r>
        <w:rPr>
          <w:rFonts w:hint="eastAsia"/>
          <w:lang w:val="en-US" w:eastAsia="zh-CN"/>
        </w:rPr>
        <w:t>4.</w:t>
      </w:r>
      <w:r>
        <w:rPr>
          <w:rFonts w:hint="eastAsia"/>
        </w:rPr>
        <w:t>澄清有关问题</w:t>
      </w:r>
      <w:bookmarkEnd w:id="114"/>
    </w:p>
    <w:p>
      <w:pPr>
        <w:pageBreakBefore w:val="0"/>
        <w:kinsoku/>
        <w:bidi w:val="0"/>
        <w:spacing w:line="360" w:lineRule="auto"/>
        <w:ind w:firstLine="420" w:firstLineChars="0"/>
        <w:textAlignment w:val="auto"/>
      </w:pPr>
      <w:r>
        <w:rPr>
          <w:rFonts w:hint="eastAsia"/>
        </w:rPr>
        <w:t>4.1</w:t>
      </w:r>
      <w:r>
        <w:rPr>
          <w:rFonts w:hint="eastAsia"/>
        </w:rPr>
        <w:tab/>
      </w:r>
      <w:r>
        <w:rPr>
          <w:rFonts w:hint="eastAsia"/>
        </w:rPr>
        <w:t>对投标文件中含义不明确、同类问题表述不一致或者有明显文字和计算错误的内容，评审小组可以书面形式（应当由评审小组专家签字）要求投标人作出必要的澄清、说明或者纠正。投标人的澄清、说明或者更正应当采用书面形式，由其授权的委托代理人签字，并不得超出文件的范围或者改变投标文件的实质性内容。</w:t>
      </w:r>
    </w:p>
    <w:p>
      <w:pPr>
        <w:pageBreakBefore w:val="0"/>
        <w:kinsoku/>
        <w:bidi w:val="0"/>
        <w:spacing w:line="360" w:lineRule="auto"/>
        <w:ind w:firstLine="420" w:firstLineChars="0"/>
        <w:textAlignment w:val="auto"/>
        <w:rPr>
          <w:rFonts w:hint="eastAsia"/>
        </w:rPr>
      </w:pPr>
      <w:r>
        <w:rPr>
          <w:rFonts w:hint="eastAsia"/>
        </w:rPr>
        <w:t>4.2</w:t>
      </w:r>
      <w:r>
        <w:rPr>
          <w:rFonts w:hint="eastAsia"/>
        </w:rPr>
        <w:tab/>
      </w:r>
      <w:r>
        <w:rPr>
          <w:rFonts w:hint="eastAsia"/>
        </w:rPr>
        <w:t>评审小组要求投标人澄清、说明或者更正响应文件应当以书面形式作出。投标人的澄清、说明或者更正应当由法定代表人或其委托代理人签字或者加盖公章。由委托代理人签字的，应当附法定代表人授权书。投标人为自然人的，应当由本人签字并附身份证明。</w:t>
      </w:r>
      <w:bookmarkStart w:id="115" w:name="_Toc437271296"/>
    </w:p>
    <w:p>
      <w:pPr>
        <w:pageBreakBefore w:val="0"/>
        <w:kinsoku/>
        <w:bidi w:val="0"/>
        <w:spacing w:line="360" w:lineRule="auto"/>
        <w:ind w:left="0" w:leftChars="0" w:firstLine="0" w:firstLineChars="0"/>
        <w:textAlignment w:val="auto"/>
      </w:pPr>
      <w:r>
        <w:rPr>
          <w:rFonts w:hint="eastAsia"/>
          <w:lang w:val="en-US" w:eastAsia="zh-CN"/>
        </w:rPr>
        <w:t>5.</w:t>
      </w:r>
      <w:r>
        <w:rPr>
          <w:rFonts w:hint="eastAsia"/>
        </w:rPr>
        <w:t>比较与评价</w:t>
      </w:r>
      <w:bookmarkEnd w:id="115"/>
    </w:p>
    <w:p>
      <w:pPr>
        <w:pageBreakBefore w:val="0"/>
        <w:kinsoku/>
        <w:bidi w:val="0"/>
        <w:spacing w:line="360" w:lineRule="auto"/>
        <w:ind w:firstLine="420" w:firstLineChars="0"/>
        <w:textAlignment w:val="auto"/>
      </w:pPr>
      <w:r>
        <w:rPr>
          <w:rFonts w:hint="eastAsia"/>
        </w:rPr>
        <w:t>5.1</w:t>
      </w:r>
      <w:r>
        <w:rPr>
          <w:rFonts w:hint="eastAsia"/>
        </w:rPr>
        <w:tab/>
      </w:r>
      <w:r>
        <w:rPr>
          <w:rFonts w:hint="eastAsia"/>
        </w:rPr>
        <w:t>投标文件的大写金额和小写金额不一致的，以大写金额为准；投标总价金额与分项报价汇总金额不一致的，以分项报价金额计算结果为准修正投标总价；分项报价金额小数点有明显错位的，应以投标总价为准，并修正分项报价。如果投标人不接受对其算术错误的更正，其投标文件可能被否决。</w:t>
      </w:r>
    </w:p>
    <w:p>
      <w:pPr>
        <w:pageBreakBefore w:val="0"/>
        <w:kinsoku/>
        <w:bidi w:val="0"/>
        <w:spacing w:line="360" w:lineRule="auto"/>
        <w:ind w:firstLine="420" w:firstLineChars="0"/>
        <w:textAlignment w:val="auto"/>
      </w:pPr>
      <w:r>
        <w:rPr>
          <w:rFonts w:hint="eastAsia"/>
        </w:rPr>
        <w:t>5.2</w:t>
      </w:r>
      <w:r>
        <w:rPr>
          <w:rFonts w:hint="eastAsia"/>
        </w:rPr>
        <w:tab/>
      </w:r>
      <w:r>
        <w:rPr>
          <w:rFonts w:hint="eastAsia"/>
        </w:rPr>
        <w:t>按采购文件中规定的评标方法和标准，对资格性检查和符合性检查合格的投标文件进行详细评审，详细评审评审标准：见评审方法前附表。</w:t>
      </w:r>
    </w:p>
    <w:p>
      <w:pPr>
        <w:pageBreakBefore w:val="0"/>
        <w:kinsoku/>
        <w:bidi w:val="0"/>
        <w:spacing w:line="360" w:lineRule="auto"/>
        <w:ind w:firstLine="420" w:firstLineChars="0"/>
        <w:textAlignment w:val="auto"/>
      </w:pPr>
      <w:r>
        <w:rPr>
          <w:rFonts w:hint="eastAsia"/>
        </w:rPr>
        <w:t>5.3</w:t>
      </w:r>
      <w:r>
        <w:rPr>
          <w:rFonts w:hint="eastAsia"/>
        </w:rPr>
        <w:tab/>
      </w:r>
      <w:r>
        <w:rPr>
          <w:rFonts w:hint="eastAsia"/>
        </w:rPr>
        <w:t>评审小组按规定的量化指标和分值进行打分，并计算出综合评审得分。</w:t>
      </w:r>
    </w:p>
    <w:p>
      <w:pPr>
        <w:pageBreakBefore w:val="0"/>
        <w:kinsoku/>
        <w:bidi w:val="0"/>
        <w:spacing w:line="360" w:lineRule="auto"/>
        <w:ind w:firstLine="420" w:firstLineChars="0"/>
        <w:textAlignment w:val="auto"/>
      </w:pPr>
      <w:r>
        <w:rPr>
          <w:rFonts w:hint="eastAsia"/>
        </w:rPr>
        <w:t>5.4</w:t>
      </w:r>
      <w:r>
        <w:rPr>
          <w:rFonts w:hint="eastAsia"/>
        </w:rPr>
        <w:tab/>
      </w:r>
      <w:r>
        <w:rPr>
          <w:rFonts w:hint="eastAsia"/>
        </w:rPr>
        <w:t>汇总全体评审小组对各投标人的打分并计算算术平均值，即投标人的最终评审得分；</w:t>
      </w:r>
    </w:p>
    <w:p>
      <w:pPr>
        <w:pageBreakBefore w:val="0"/>
        <w:kinsoku/>
        <w:bidi w:val="0"/>
        <w:spacing w:line="360" w:lineRule="auto"/>
        <w:ind w:firstLine="420" w:firstLineChars="0"/>
        <w:textAlignment w:val="auto"/>
        <w:rPr>
          <w:rFonts w:hint="eastAsia"/>
        </w:rPr>
      </w:pPr>
      <w:r>
        <w:rPr>
          <w:rFonts w:hint="eastAsia"/>
        </w:rPr>
        <w:t>5.5</w:t>
      </w:r>
      <w:r>
        <w:rPr>
          <w:rFonts w:hint="eastAsia"/>
        </w:rPr>
        <w:tab/>
      </w:r>
      <w:r>
        <w:rPr>
          <w:rFonts w:hint="eastAsia"/>
        </w:rPr>
        <w:t>评分分值计算保留小数点后两位，小数点后第三位“四舍五入”。</w:t>
      </w:r>
      <w:bookmarkStart w:id="116" w:name="_Toc437271297"/>
    </w:p>
    <w:p>
      <w:pPr>
        <w:pageBreakBefore w:val="0"/>
        <w:kinsoku/>
        <w:bidi w:val="0"/>
        <w:spacing w:line="360" w:lineRule="auto"/>
        <w:ind w:left="0" w:leftChars="0" w:firstLine="0" w:firstLineChars="0"/>
        <w:textAlignment w:val="auto"/>
      </w:pPr>
      <w:r>
        <w:rPr>
          <w:rFonts w:hint="eastAsia"/>
          <w:lang w:val="en-US" w:eastAsia="zh-CN"/>
        </w:rPr>
        <w:t>6.</w:t>
      </w:r>
      <w:r>
        <w:rPr>
          <w:rFonts w:hint="eastAsia"/>
        </w:rPr>
        <w:t>评审结果</w:t>
      </w:r>
      <w:bookmarkEnd w:id="116"/>
    </w:p>
    <w:p>
      <w:pPr>
        <w:pageBreakBefore w:val="0"/>
        <w:kinsoku/>
        <w:bidi w:val="0"/>
        <w:spacing w:line="360" w:lineRule="auto"/>
        <w:ind w:firstLine="420" w:firstLineChars="0"/>
        <w:textAlignment w:val="auto"/>
      </w:pPr>
      <w:r>
        <w:rPr>
          <w:rFonts w:hint="eastAsia"/>
        </w:rPr>
        <w:t>6.1</w:t>
      </w:r>
      <w:r>
        <w:rPr>
          <w:rFonts w:hint="eastAsia"/>
        </w:rPr>
        <w:tab/>
      </w:r>
      <w:r>
        <w:rPr>
          <w:rFonts w:hint="eastAsia"/>
        </w:rPr>
        <w:t>评审小组对通过</w:t>
      </w:r>
      <w:r>
        <w:t>初步评审的通标人</w:t>
      </w:r>
      <w:r>
        <w:rPr>
          <w:rFonts w:hint="eastAsia"/>
        </w:rPr>
        <w:t>按照综合评审得分由高到低的顺序推荐3名候选投标人。</w:t>
      </w:r>
    </w:p>
    <w:p>
      <w:pPr>
        <w:pageBreakBefore w:val="0"/>
        <w:kinsoku/>
        <w:bidi w:val="0"/>
        <w:spacing w:line="360" w:lineRule="auto"/>
        <w:ind w:firstLine="420" w:firstLineChars="0"/>
        <w:textAlignment w:val="auto"/>
      </w:pPr>
      <w:r>
        <w:rPr>
          <w:rFonts w:hint="eastAsia"/>
        </w:rPr>
        <w:t>6.2</w:t>
      </w:r>
      <w:r>
        <w:rPr>
          <w:rFonts w:hint="eastAsia"/>
        </w:rPr>
        <w:tab/>
      </w:r>
      <w:r>
        <w:rPr>
          <w:rFonts w:hint="eastAsia"/>
        </w:rPr>
        <w:t>评审小组完成评审后，应当向采购人提交书面评审报告。</w:t>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r>
        <w:br w:type="page"/>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Style w:val="7"/>
        <w:pageBreakBefore w:val="0"/>
        <w:kinsoku/>
        <w:bidi w:val="0"/>
        <w:spacing w:line="360" w:lineRule="auto"/>
        <w:textAlignment w:val="auto"/>
      </w:pPr>
      <w:bookmarkStart w:id="117" w:name="_Toc437271298"/>
      <w:r>
        <w:rPr>
          <w:rFonts w:hint="eastAsia"/>
        </w:rPr>
        <w:t>投标文件格式</w:t>
      </w:r>
      <w:bookmarkEnd w:id="117"/>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r>
        <w:br w:type="page"/>
      </w:r>
    </w:p>
    <w:p>
      <w:pPr>
        <w:pStyle w:val="58"/>
        <w:pageBreakBefore w:val="0"/>
        <w:numPr>
          <w:ilvl w:val="0"/>
          <w:numId w:val="0"/>
        </w:numPr>
        <w:kinsoku/>
        <w:bidi w:val="0"/>
        <w:spacing w:line="360" w:lineRule="auto"/>
        <w:ind w:left="576"/>
        <w:jc w:val="center"/>
        <w:textAlignment w:val="auto"/>
      </w:pPr>
      <w:bookmarkStart w:id="118" w:name="_Toc437271299"/>
      <w:r>
        <w:rPr>
          <w:rFonts w:hint="eastAsia"/>
        </w:rPr>
        <w:t>一、投标函</w:t>
      </w:r>
      <w:bookmarkEnd w:id="118"/>
    </w:p>
    <w:p>
      <w:pPr>
        <w:pageBreakBefore w:val="0"/>
        <w:kinsoku/>
        <w:bidi w:val="0"/>
        <w:spacing w:line="360" w:lineRule="auto"/>
        <w:ind w:firstLine="480"/>
        <w:textAlignment w:val="auto"/>
      </w:pPr>
      <w:r>
        <w:rPr>
          <w:rFonts w:hint="eastAsia"/>
        </w:rPr>
        <w:t>致：</w:t>
      </w:r>
      <w:r>
        <w:rPr>
          <w:rFonts w:hint="eastAsia"/>
          <w:u w:val="single"/>
          <w:lang w:eastAsia="zh-CN"/>
        </w:rPr>
        <w:t>登封市交通运输局</w:t>
      </w:r>
      <w:r>
        <w:rPr>
          <w:rFonts w:hint="eastAsia"/>
        </w:rPr>
        <w:t xml:space="preserve"> (采购人名称)</w:t>
      </w:r>
    </w:p>
    <w:p>
      <w:pPr>
        <w:pageBreakBefore w:val="0"/>
        <w:kinsoku/>
        <w:bidi w:val="0"/>
        <w:spacing w:line="360" w:lineRule="auto"/>
        <w:ind w:firstLine="480"/>
        <w:textAlignment w:val="auto"/>
      </w:pPr>
      <w:r>
        <w:rPr>
          <w:rFonts w:hint="eastAsia"/>
        </w:rPr>
        <w:t>根据贵方的</w:t>
      </w:r>
      <w:r>
        <w:rPr>
          <w:rFonts w:hint="eastAsia"/>
          <w:u w:val="single"/>
          <w:lang w:eastAsia="zh-CN"/>
        </w:rPr>
        <w:t>登封市环嵩山旅游公路改建工程PPP项目</w:t>
      </w:r>
      <w:r>
        <w:rPr>
          <w:rFonts w:hint="eastAsia"/>
        </w:rPr>
        <w:t>采购文件，签字代表</w:t>
      </w:r>
      <w:r>
        <w:rPr>
          <w:rFonts w:hint="eastAsia"/>
          <w:u w:val="single"/>
        </w:rPr>
        <w:t xml:space="preserve">       </w:t>
      </w:r>
      <w:r>
        <w:rPr>
          <w:u w:val="single"/>
        </w:rPr>
        <w:t xml:space="preserve">  </w:t>
      </w:r>
      <w:r>
        <w:rPr>
          <w:rFonts w:hint="eastAsia"/>
          <w:u w:val="single"/>
        </w:rPr>
        <w:t xml:space="preserve">   （姓名、职务）</w:t>
      </w:r>
      <w:r>
        <w:rPr>
          <w:rFonts w:hint="eastAsia"/>
        </w:rPr>
        <w:t>经正式授权并代表投标人</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 xml:space="preserve">  </w:t>
      </w:r>
      <w:r>
        <w:rPr>
          <w:u w:val="single"/>
        </w:rPr>
        <w:t>(</w:t>
      </w:r>
      <w:r>
        <w:rPr>
          <w:rFonts w:hint="eastAsia"/>
          <w:u w:val="single"/>
        </w:rPr>
        <w:t>投标人名称、地址 )</w:t>
      </w:r>
      <w:r>
        <w:rPr>
          <w:rFonts w:hint="eastAsia"/>
        </w:rPr>
        <w:t>提交投标文件正本壹份及副本</w:t>
      </w:r>
      <w:r>
        <w:rPr>
          <w:rFonts w:hint="eastAsia"/>
          <w:lang w:val="en-US" w:eastAsia="zh-CN"/>
        </w:rPr>
        <w:t>陆</w:t>
      </w:r>
      <w:r>
        <w:rPr>
          <w:rFonts w:hint="eastAsia"/>
        </w:rPr>
        <w:t>份：</w:t>
      </w:r>
    </w:p>
    <w:p>
      <w:pPr>
        <w:pageBreakBefore w:val="0"/>
        <w:kinsoku/>
        <w:bidi w:val="0"/>
        <w:spacing w:line="360" w:lineRule="auto"/>
        <w:ind w:firstLine="480"/>
        <w:textAlignment w:val="auto"/>
      </w:pPr>
      <w:r>
        <w:rPr>
          <w:rFonts w:hint="eastAsia"/>
        </w:rPr>
        <w:t>1.投标函</w:t>
      </w:r>
    </w:p>
    <w:p>
      <w:pPr>
        <w:pageBreakBefore w:val="0"/>
        <w:kinsoku/>
        <w:bidi w:val="0"/>
        <w:spacing w:line="360" w:lineRule="auto"/>
        <w:ind w:firstLine="480"/>
        <w:textAlignment w:val="auto"/>
      </w:pPr>
      <w:r>
        <w:rPr>
          <w:rFonts w:hint="eastAsia"/>
        </w:rPr>
        <w:t>2.法定代表人</w:t>
      </w:r>
      <w:r>
        <w:rPr>
          <w:rFonts w:hint="eastAsia"/>
          <w:lang w:val="en-US" w:eastAsia="zh-CN"/>
        </w:rPr>
        <w:t>身份</w:t>
      </w:r>
      <w:r>
        <w:rPr>
          <w:rFonts w:hint="eastAsia"/>
        </w:rPr>
        <w:t>证明</w:t>
      </w:r>
    </w:p>
    <w:p>
      <w:pPr>
        <w:pageBreakBefore w:val="0"/>
        <w:kinsoku/>
        <w:bidi w:val="0"/>
        <w:spacing w:line="360" w:lineRule="auto"/>
        <w:ind w:firstLine="480"/>
        <w:textAlignment w:val="auto"/>
        <w:rPr>
          <w:rFonts w:hint="eastAsia"/>
        </w:rPr>
      </w:pPr>
      <w:r>
        <w:rPr>
          <w:rFonts w:hint="eastAsia"/>
          <w:lang w:val="en-US" w:eastAsia="zh-CN"/>
        </w:rPr>
        <w:t>3</w:t>
      </w:r>
      <w:r>
        <w:rPr>
          <w:rFonts w:hint="eastAsia"/>
        </w:rPr>
        <w:t>.授权委托书</w:t>
      </w:r>
    </w:p>
    <w:p>
      <w:pPr>
        <w:pageBreakBefore w:val="0"/>
        <w:kinsoku/>
        <w:bidi w:val="0"/>
        <w:spacing w:line="360" w:lineRule="auto"/>
        <w:ind w:firstLine="480"/>
        <w:textAlignment w:val="auto"/>
        <w:rPr>
          <w:rFonts w:hint="eastAsia"/>
          <w:lang w:val="en-US" w:eastAsia="zh-CN"/>
        </w:rPr>
      </w:pPr>
      <w:r>
        <w:rPr>
          <w:rFonts w:hint="eastAsia"/>
          <w:lang w:val="en-US" w:eastAsia="zh-CN"/>
        </w:rPr>
        <w:t>4.联合体协议书（如有）</w:t>
      </w:r>
    </w:p>
    <w:p>
      <w:pPr>
        <w:pStyle w:val="5"/>
        <w:rPr>
          <w:rFonts w:hint="eastAsia"/>
          <w:lang w:val="en-US" w:eastAsia="zh-CN"/>
        </w:rPr>
      </w:pPr>
      <w:r>
        <w:rPr>
          <w:rFonts w:hint="eastAsia"/>
          <w:lang w:val="en-US" w:eastAsia="zh-CN"/>
        </w:rPr>
        <w:t>5.承诺函</w:t>
      </w:r>
    </w:p>
    <w:p>
      <w:pPr>
        <w:pageBreakBefore w:val="0"/>
        <w:kinsoku/>
        <w:bidi w:val="0"/>
        <w:spacing w:line="360" w:lineRule="auto"/>
        <w:ind w:firstLine="480"/>
        <w:textAlignment w:val="auto"/>
        <w:rPr>
          <w:rFonts w:hint="eastAsia"/>
        </w:rPr>
      </w:pPr>
      <w:r>
        <w:rPr>
          <w:rFonts w:hint="eastAsia"/>
          <w:lang w:val="en-US" w:eastAsia="zh-CN"/>
        </w:rPr>
        <w:t>6</w:t>
      </w:r>
      <w:r>
        <w:rPr>
          <w:rFonts w:hint="eastAsia"/>
        </w:rPr>
        <w:t>.投标保证金</w:t>
      </w:r>
    </w:p>
    <w:p>
      <w:pPr>
        <w:pageBreakBefore w:val="0"/>
        <w:kinsoku/>
        <w:bidi w:val="0"/>
        <w:spacing w:line="360" w:lineRule="auto"/>
        <w:ind w:firstLine="480"/>
        <w:textAlignment w:val="auto"/>
        <w:rPr>
          <w:rFonts w:hint="eastAsia"/>
          <w:lang w:val="en-US" w:eastAsia="zh-CN"/>
        </w:rPr>
      </w:pPr>
      <w:r>
        <w:rPr>
          <w:rFonts w:hint="eastAsia"/>
          <w:lang w:val="en-US" w:eastAsia="zh-CN"/>
        </w:rPr>
        <w:t>7.项目总投资</w:t>
      </w:r>
    </w:p>
    <w:p>
      <w:pPr>
        <w:pageBreakBefore w:val="0"/>
        <w:kinsoku/>
        <w:bidi w:val="0"/>
        <w:spacing w:line="360" w:lineRule="auto"/>
        <w:ind w:firstLine="480"/>
        <w:textAlignment w:val="auto"/>
        <w:rPr>
          <w:rFonts w:hint="eastAsia"/>
        </w:rPr>
      </w:pPr>
      <w:r>
        <w:rPr>
          <w:rFonts w:hint="eastAsia"/>
          <w:lang w:val="en-US" w:eastAsia="zh-CN"/>
        </w:rPr>
        <w:t>8</w:t>
      </w:r>
      <w:r>
        <w:rPr>
          <w:rFonts w:hint="eastAsia"/>
        </w:rPr>
        <w:t>.偏离表</w:t>
      </w:r>
    </w:p>
    <w:p>
      <w:pPr>
        <w:pageBreakBefore w:val="0"/>
        <w:kinsoku/>
        <w:bidi w:val="0"/>
        <w:spacing w:line="360" w:lineRule="auto"/>
        <w:ind w:firstLine="480"/>
        <w:textAlignment w:val="auto"/>
        <w:rPr>
          <w:rFonts w:hint="eastAsia"/>
          <w:lang w:val="en-US" w:eastAsia="zh-CN"/>
        </w:rPr>
      </w:pPr>
      <w:r>
        <w:rPr>
          <w:rFonts w:hint="eastAsia"/>
          <w:lang w:val="en-US" w:eastAsia="zh-CN"/>
        </w:rPr>
        <w:t>9.项目公司设立方案</w:t>
      </w:r>
    </w:p>
    <w:p>
      <w:pPr>
        <w:pStyle w:val="5"/>
        <w:rPr>
          <w:rFonts w:hint="eastAsia"/>
          <w:lang w:val="en-US" w:eastAsia="zh-CN"/>
        </w:rPr>
      </w:pPr>
      <w:r>
        <w:rPr>
          <w:rFonts w:hint="eastAsia"/>
          <w:lang w:val="en-US" w:eastAsia="zh-CN"/>
        </w:rPr>
        <w:t>10.资格文件</w:t>
      </w:r>
    </w:p>
    <w:p>
      <w:pPr>
        <w:pStyle w:val="5"/>
        <w:rPr>
          <w:rFonts w:hint="eastAsia"/>
          <w:lang w:val="en-US" w:eastAsia="zh-CN"/>
        </w:rPr>
      </w:pPr>
      <w:r>
        <w:rPr>
          <w:rFonts w:hint="eastAsia"/>
          <w:lang w:val="en-US" w:eastAsia="zh-CN"/>
        </w:rPr>
        <w:t>11.投标人拟定的项目实施方案</w:t>
      </w:r>
    </w:p>
    <w:p>
      <w:pPr>
        <w:pStyle w:val="5"/>
        <w:rPr>
          <w:rFonts w:hint="eastAsia"/>
          <w:lang w:val="en-US" w:eastAsia="zh-CN"/>
        </w:rPr>
      </w:pPr>
      <w:r>
        <w:rPr>
          <w:rFonts w:hint="eastAsia"/>
          <w:lang w:val="en-US" w:eastAsia="zh-CN"/>
        </w:rPr>
        <w:t>12.声明函</w:t>
      </w:r>
    </w:p>
    <w:p>
      <w:pPr>
        <w:pStyle w:val="5"/>
        <w:rPr>
          <w:rFonts w:hint="eastAsia"/>
          <w:lang w:val="en-US" w:eastAsia="zh-CN"/>
        </w:rPr>
      </w:pPr>
      <w:r>
        <w:rPr>
          <w:rFonts w:hint="eastAsia"/>
          <w:lang w:val="en-US" w:eastAsia="zh-CN"/>
        </w:rPr>
        <w:t>13.社会资本综合实力</w:t>
      </w:r>
    </w:p>
    <w:p>
      <w:pPr>
        <w:pStyle w:val="5"/>
        <w:rPr>
          <w:rFonts w:hint="eastAsia"/>
          <w:lang w:val="en-US" w:eastAsia="zh-CN"/>
        </w:rPr>
      </w:pPr>
      <w:r>
        <w:rPr>
          <w:rFonts w:hint="eastAsia"/>
          <w:lang w:val="en-US" w:eastAsia="zh-CN"/>
        </w:rPr>
        <w:t>14.目标承诺书</w:t>
      </w:r>
    </w:p>
    <w:p>
      <w:pPr>
        <w:pStyle w:val="5"/>
        <w:rPr>
          <w:rFonts w:hint="eastAsia"/>
          <w:lang w:val="en-US" w:eastAsia="zh-CN"/>
        </w:rPr>
      </w:pPr>
      <w:r>
        <w:rPr>
          <w:rFonts w:hint="eastAsia"/>
          <w:lang w:val="en-US" w:eastAsia="zh-CN"/>
        </w:rPr>
        <w:t>15.其他资料</w:t>
      </w:r>
    </w:p>
    <w:p>
      <w:pPr>
        <w:pageBreakBefore w:val="0"/>
        <w:kinsoku/>
        <w:bidi w:val="0"/>
        <w:spacing w:line="360" w:lineRule="auto"/>
        <w:ind w:firstLine="480"/>
        <w:textAlignment w:val="auto"/>
        <w:rPr>
          <w:color w:val="auto"/>
        </w:rPr>
      </w:pPr>
      <w:r>
        <w:rPr>
          <w:rFonts w:hint="eastAsia"/>
        </w:rPr>
        <w:t>我方已仔细阅读并研究了</w:t>
      </w:r>
      <w:r>
        <w:rPr>
          <w:rFonts w:hint="eastAsia"/>
          <w:lang w:eastAsia="zh-CN"/>
        </w:rPr>
        <w:t>登封市环嵩山旅游公路改建工程PPP项目</w:t>
      </w:r>
      <w:r>
        <w:rPr>
          <w:rFonts w:hint="eastAsia"/>
        </w:rPr>
        <w:t>采购文件的全部内容（包含本项目的所有补遗、澄清和变更资料)，我们完全熟悉其中的要求、条款和</w:t>
      </w:r>
      <w:r>
        <w:rPr>
          <w:rFonts w:hint="eastAsia"/>
          <w:color w:val="auto"/>
        </w:rPr>
        <w:t>条件。</w:t>
      </w:r>
    </w:p>
    <w:p>
      <w:pPr>
        <w:pageBreakBefore w:val="0"/>
        <w:kinsoku/>
        <w:bidi w:val="0"/>
        <w:spacing w:line="360" w:lineRule="auto"/>
        <w:ind w:firstLine="480"/>
        <w:textAlignment w:val="auto"/>
        <w:rPr>
          <w:color w:val="auto"/>
        </w:rPr>
      </w:pPr>
      <w:r>
        <w:rPr>
          <w:rFonts w:hint="eastAsia"/>
          <w:color w:val="auto"/>
        </w:rPr>
        <w:t>我方愿意以：</w:t>
      </w:r>
    </w:p>
    <w:p>
      <w:pPr>
        <w:pageBreakBefore w:val="0"/>
        <w:kinsoku/>
        <w:bidi w:val="0"/>
        <w:spacing w:line="360" w:lineRule="auto"/>
        <w:ind w:firstLine="480"/>
        <w:textAlignment w:val="auto"/>
        <w:rPr>
          <w:color w:val="auto"/>
        </w:rPr>
      </w:pPr>
      <w:r>
        <w:rPr>
          <w:rFonts w:hint="eastAsia"/>
          <w:color w:val="auto"/>
          <w:lang w:val="en-US" w:eastAsia="zh-CN"/>
        </w:rPr>
        <w:t>合理利润</w:t>
      </w:r>
      <w:r>
        <w:rPr>
          <w:rFonts w:hint="eastAsia"/>
          <w:color w:val="auto"/>
        </w:rPr>
        <w:t>率（大写）百分之__________（小写______%）</w:t>
      </w:r>
      <w:r>
        <w:rPr>
          <w:rFonts w:hint="eastAsia"/>
          <w:color w:val="auto"/>
          <w:lang w:eastAsia="zh-CN"/>
        </w:rPr>
        <w:t>；</w:t>
      </w:r>
    </w:p>
    <w:p>
      <w:pPr>
        <w:pageBreakBefore w:val="0"/>
        <w:kinsoku/>
        <w:bidi w:val="0"/>
        <w:spacing w:line="360" w:lineRule="auto"/>
        <w:ind w:firstLine="480"/>
        <w:textAlignment w:val="auto"/>
        <w:rPr>
          <w:rFonts w:hint="eastAsia"/>
          <w:color w:val="auto"/>
          <w:lang w:eastAsia="zh-CN"/>
        </w:rPr>
      </w:pPr>
      <w:r>
        <w:rPr>
          <w:rFonts w:hint="eastAsia"/>
          <w:color w:val="auto"/>
          <w:lang w:val="en-US" w:eastAsia="zh-CN"/>
        </w:rPr>
        <w:t>年度折现</w:t>
      </w:r>
      <w:r>
        <w:rPr>
          <w:rFonts w:hint="eastAsia"/>
          <w:color w:val="auto"/>
        </w:rPr>
        <w:t>率（大写）百分之____________（小写_____%）</w:t>
      </w:r>
      <w:r>
        <w:rPr>
          <w:rFonts w:hint="eastAsia"/>
          <w:color w:val="auto"/>
          <w:lang w:eastAsia="zh-CN"/>
        </w:rPr>
        <w:t>；</w:t>
      </w:r>
    </w:p>
    <w:p>
      <w:pPr>
        <w:pageBreakBefore w:val="0"/>
        <w:kinsoku/>
        <w:bidi w:val="0"/>
        <w:spacing w:line="360" w:lineRule="auto"/>
        <w:ind w:firstLine="480"/>
        <w:textAlignment w:val="auto"/>
        <w:rPr>
          <w:rFonts w:hint="eastAsia"/>
          <w:color w:val="auto"/>
          <w:lang w:val="en-US" w:eastAsia="zh-CN"/>
        </w:rPr>
      </w:pPr>
      <w:r>
        <w:rPr>
          <w:rFonts w:hint="eastAsia"/>
          <w:color w:val="auto"/>
          <w:lang w:val="en-US" w:eastAsia="zh-CN"/>
        </w:rPr>
        <w:t>建筑安装工程费下浮率：</w:t>
      </w:r>
      <w:r>
        <w:rPr>
          <w:rFonts w:hint="eastAsia"/>
          <w:color w:val="auto"/>
        </w:rPr>
        <w:t>（大写）百分之__________（小写______%）</w:t>
      </w:r>
      <w:r>
        <w:rPr>
          <w:rFonts w:hint="eastAsia"/>
          <w:color w:val="auto"/>
          <w:lang w:eastAsia="zh-CN"/>
        </w:rPr>
        <w:t>；</w:t>
      </w:r>
    </w:p>
    <w:p>
      <w:pPr>
        <w:pStyle w:val="5"/>
        <w:rPr>
          <w:rFonts w:hint="eastAsia"/>
          <w:color w:val="auto"/>
          <w:lang w:eastAsia="zh-CN"/>
        </w:rPr>
      </w:pPr>
      <w:r>
        <w:rPr>
          <w:rFonts w:hint="eastAsia"/>
          <w:color w:val="auto"/>
          <w:lang w:val="en-US" w:eastAsia="zh-CN"/>
        </w:rPr>
        <w:t>运营成本下浮率：</w:t>
      </w:r>
      <w:r>
        <w:rPr>
          <w:rFonts w:hint="eastAsia"/>
          <w:color w:val="auto"/>
        </w:rPr>
        <w:t>（大写）百分之__________（小写______%）</w:t>
      </w:r>
      <w:r>
        <w:rPr>
          <w:rFonts w:hint="eastAsia"/>
          <w:color w:val="auto"/>
          <w:lang w:eastAsia="zh-CN"/>
        </w:rPr>
        <w:t>；</w:t>
      </w:r>
    </w:p>
    <w:p>
      <w:pPr>
        <w:pStyle w:val="5"/>
      </w:pPr>
      <w:r>
        <w:rPr>
          <w:rFonts w:hint="eastAsia"/>
          <w:color w:val="auto"/>
          <w:lang w:val="en-US" w:eastAsia="zh-CN"/>
        </w:rPr>
        <w:t>经测算的付费总额</w:t>
      </w:r>
      <w:r>
        <w:rPr>
          <w:rFonts w:hint="eastAsia"/>
          <w:color w:val="auto"/>
          <w:u w:val="single"/>
          <w:lang w:val="en-US" w:eastAsia="zh-CN"/>
        </w:rPr>
        <w:t xml:space="preserve">             （元）</w:t>
      </w:r>
      <w:r>
        <w:rPr>
          <w:rFonts w:hint="eastAsia"/>
          <w:color w:val="auto"/>
        </w:rPr>
        <w:t>的投标价格，</w:t>
      </w:r>
      <w:r>
        <w:rPr>
          <w:rFonts w:hint="eastAsia"/>
        </w:rPr>
        <w:t>按合同约定对本项目前期工作、建设、运营及移交等进行实施和完成。（上述报价应精确至小数点后两位）</w:t>
      </w:r>
    </w:p>
    <w:p>
      <w:pPr>
        <w:pageBreakBefore w:val="0"/>
        <w:kinsoku/>
        <w:bidi w:val="0"/>
        <w:spacing w:line="360" w:lineRule="auto"/>
        <w:ind w:firstLine="480"/>
        <w:textAlignment w:val="auto"/>
      </w:pPr>
      <w:r>
        <w:rPr>
          <w:rFonts w:hint="eastAsia"/>
        </w:rPr>
        <w:t>同时做出以下声明：</w:t>
      </w:r>
    </w:p>
    <w:p>
      <w:pPr>
        <w:pageBreakBefore w:val="0"/>
        <w:kinsoku/>
        <w:bidi w:val="0"/>
        <w:spacing w:line="360" w:lineRule="auto"/>
        <w:ind w:firstLine="480"/>
        <w:textAlignment w:val="auto"/>
      </w:pPr>
      <w:r>
        <w:rPr>
          <w:rFonts w:hint="eastAsia"/>
        </w:rPr>
        <w:t>1.</w:t>
      </w:r>
      <w:r>
        <w:rPr>
          <w:rFonts w:hint="eastAsia"/>
        </w:rPr>
        <w:tab/>
      </w:r>
      <w:r>
        <w:rPr>
          <w:rFonts w:hint="eastAsia"/>
        </w:rPr>
        <w:t>我方按采购文件的要求编制</w:t>
      </w:r>
      <w:r>
        <w:rPr>
          <w:rFonts w:hint="eastAsia"/>
          <w:lang w:val="en-US" w:eastAsia="zh-CN"/>
        </w:rPr>
        <w:t>投标</w:t>
      </w:r>
      <w:r>
        <w:rPr>
          <w:rFonts w:hint="eastAsia"/>
        </w:rPr>
        <w:t>文件。</w:t>
      </w:r>
    </w:p>
    <w:p>
      <w:pPr>
        <w:pageBreakBefore w:val="0"/>
        <w:kinsoku/>
        <w:bidi w:val="0"/>
        <w:spacing w:line="360" w:lineRule="auto"/>
        <w:ind w:firstLine="480"/>
        <w:textAlignment w:val="auto"/>
      </w:pPr>
      <w:r>
        <w:rPr>
          <w:rFonts w:hint="eastAsia"/>
        </w:rPr>
        <w:t>2.</w:t>
      </w:r>
      <w:r>
        <w:rPr>
          <w:rFonts w:hint="eastAsia"/>
        </w:rPr>
        <w:tab/>
      </w:r>
      <w:r>
        <w:rPr>
          <w:rFonts w:hint="eastAsia"/>
        </w:rPr>
        <w:t>我方投标有效期为150天，投标保证金有效期为150天。</w:t>
      </w:r>
    </w:p>
    <w:p>
      <w:pPr>
        <w:pageBreakBefore w:val="0"/>
        <w:kinsoku/>
        <w:bidi w:val="0"/>
        <w:spacing w:line="360" w:lineRule="auto"/>
        <w:ind w:firstLine="480"/>
        <w:textAlignment w:val="auto"/>
      </w:pPr>
      <w:r>
        <w:rPr>
          <w:rFonts w:hint="eastAsia"/>
        </w:rPr>
        <w:t>3.</w:t>
      </w:r>
      <w:r>
        <w:rPr>
          <w:rFonts w:hint="eastAsia"/>
        </w:rPr>
        <w:tab/>
      </w:r>
      <w:r>
        <w:rPr>
          <w:rFonts w:hint="eastAsia"/>
        </w:rPr>
        <w:t>我方承诺与采购人聘请的为此项目提供咨询服务的公司及任何附属机构均无关联，我方不是采购人的附属机构。</w:t>
      </w:r>
    </w:p>
    <w:p>
      <w:pPr>
        <w:pageBreakBefore w:val="0"/>
        <w:kinsoku/>
        <w:bidi w:val="0"/>
        <w:spacing w:line="360" w:lineRule="auto"/>
        <w:ind w:firstLine="480"/>
        <w:textAlignment w:val="auto"/>
      </w:pPr>
      <w:r>
        <w:rPr>
          <w:rFonts w:hint="eastAsia"/>
        </w:rPr>
        <w:t>4.</w:t>
      </w:r>
      <w:r>
        <w:rPr>
          <w:rFonts w:hint="eastAsia"/>
        </w:rPr>
        <w:tab/>
      </w:r>
      <w:r>
        <w:rPr>
          <w:rFonts w:hint="eastAsia"/>
        </w:rPr>
        <w:t>我方将按采购文件的规定履行合同责任和义务。</w:t>
      </w:r>
    </w:p>
    <w:p>
      <w:pPr>
        <w:pageBreakBefore w:val="0"/>
        <w:kinsoku/>
        <w:bidi w:val="0"/>
        <w:spacing w:line="360" w:lineRule="auto"/>
        <w:ind w:firstLine="480"/>
        <w:textAlignment w:val="auto"/>
      </w:pPr>
      <w:r>
        <w:rPr>
          <w:rFonts w:hint="eastAsia"/>
        </w:rPr>
        <w:t>5.</w:t>
      </w:r>
      <w:r>
        <w:rPr>
          <w:rFonts w:hint="eastAsia"/>
        </w:rPr>
        <w:tab/>
      </w:r>
      <w:r>
        <w:rPr>
          <w:rFonts w:hint="eastAsia"/>
        </w:rPr>
        <w:t>我方同意投标人须知中关于没收投标保证金的规定。</w:t>
      </w:r>
    </w:p>
    <w:p>
      <w:pPr>
        <w:pageBreakBefore w:val="0"/>
        <w:kinsoku/>
        <w:bidi w:val="0"/>
        <w:spacing w:line="360" w:lineRule="auto"/>
        <w:ind w:firstLine="480"/>
        <w:textAlignment w:val="auto"/>
      </w:pPr>
      <w:r>
        <w:rPr>
          <w:rFonts w:hint="eastAsia"/>
        </w:rPr>
        <w:t>6.</w:t>
      </w:r>
      <w:r>
        <w:rPr>
          <w:rFonts w:hint="eastAsia"/>
        </w:rPr>
        <w:tab/>
      </w:r>
      <w:r>
        <w:rPr>
          <w:rFonts w:hint="eastAsia"/>
        </w:rPr>
        <w:t>我方同意提供贵方可能要求的与其招标有关的一切数据或资料。</w:t>
      </w:r>
    </w:p>
    <w:p>
      <w:pPr>
        <w:pageBreakBefore w:val="0"/>
        <w:kinsoku/>
        <w:bidi w:val="0"/>
        <w:spacing w:line="360" w:lineRule="auto"/>
        <w:ind w:firstLine="480"/>
        <w:textAlignment w:val="auto"/>
      </w:pPr>
      <w:r>
        <w:rPr>
          <w:rFonts w:hint="eastAsia"/>
        </w:rPr>
        <w:t>7.</w:t>
      </w:r>
      <w:r>
        <w:rPr>
          <w:rFonts w:hint="eastAsia"/>
        </w:rPr>
        <w:tab/>
      </w:r>
      <w:r>
        <w:rPr>
          <w:rFonts w:hint="eastAsia"/>
        </w:rPr>
        <w:t>我方完全理解贵方不一定接受最低价的响应或收到的任何响应。</w:t>
      </w:r>
    </w:p>
    <w:p>
      <w:pPr>
        <w:pageBreakBefore w:val="0"/>
        <w:kinsoku/>
        <w:bidi w:val="0"/>
        <w:spacing w:line="360" w:lineRule="auto"/>
        <w:ind w:firstLine="480"/>
        <w:textAlignment w:val="auto"/>
      </w:pPr>
      <w:r>
        <w:rPr>
          <w:rFonts w:hint="eastAsia"/>
        </w:rPr>
        <w:t>8.</w:t>
      </w:r>
      <w:r>
        <w:rPr>
          <w:rFonts w:hint="eastAsia"/>
        </w:rPr>
        <w:tab/>
      </w:r>
      <w:r>
        <w:rPr>
          <w:rFonts w:hint="eastAsia"/>
        </w:rPr>
        <w:t>我方承诺不泄露招投标活动中获取的项目信息、商业秘密。</w:t>
      </w:r>
    </w:p>
    <w:p>
      <w:pPr>
        <w:pageBreakBefore w:val="0"/>
        <w:kinsoku/>
        <w:bidi w:val="0"/>
        <w:spacing w:line="360" w:lineRule="auto"/>
        <w:ind w:firstLine="480"/>
        <w:textAlignment w:val="auto"/>
      </w:pPr>
      <w:r>
        <w:rPr>
          <w:rFonts w:hint="eastAsia"/>
        </w:rPr>
        <w:t>9.</w:t>
      </w:r>
      <w:r>
        <w:rPr>
          <w:rFonts w:hint="eastAsia"/>
        </w:rPr>
        <w:tab/>
      </w:r>
      <w:r>
        <w:rPr>
          <w:rFonts w:hint="eastAsia"/>
        </w:rPr>
        <w:t>我方在此声明，所递交的投标文件及有关资料内容完整、真实和准确。</w:t>
      </w:r>
    </w:p>
    <w:p>
      <w:pPr>
        <w:pageBreakBefore w:val="0"/>
        <w:kinsoku/>
        <w:bidi w:val="0"/>
        <w:spacing w:line="360" w:lineRule="auto"/>
        <w:ind w:firstLine="480"/>
        <w:textAlignment w:val="auto"/>
      </w:pPr>
      <w:r>
        <w:rPr>
          <w:rFonts w:hint="eastAsia"/>
        </w:rPr>
        <w:t>与本招标有关的一切正式信函请寄：</w:t>
      </w:r>
    </w:p>
    <w:p>
      <w:pPr>
        <w:pageBreakBefore w:val="0"/>
        <w:kinsoku/>
        <w:bidi w:val="0"/>
        <w:spacing w:line="360" w:lineRule="auto"/>
        <w:ind w:firstLine="480"/>
        <w:textAlignment w:val="auto"/>
      </w:pPr>
      <w:r>
        <w:rPr>
          <w:rFonts w:hint="eastAsia"/>
        </w:rPr>
        <w:t xml:space="preserve">联系人： </w:t>
      </w:r>
      <w:r>
        <w:rPr>
          <w:u w:val="single"/>
        </w:rPr>
        <w:t xml:space="preserve">                             </w:t>
      </w:r>
    </w:p>
    <w:p>
      <w:pPr>
        <w:pageBreakBefore w:val="0"/>
        <w:kinsoku/>
        <w:bidi w:val="0"/>
        <w:spacing w:line="360" w:lineRule="auto"/>
        <w:ind w:firstLine="480"/>
        <w:textAlignment w:val="auto"/>
      </w:pPr>
      <w:r>
        <w:rPr>
          <w:rFonts w:hint="eastAsia"/>
        </w:rPr>
        <w:t xml:space="preserve">地  址： </w:t>
      </w:r>
      <w:r>
        <w:rPr>
          <w:u w:val="single"/>
        </w:rPr>
        <w:t xml:space="preserve">                             </w:t>
      </w:r>
    </w:p>
    <w:p>
      <w:pPr>
        <w:pageBreakBefore w:val="0"/>
        <w:kinsoku/>
        <w:bidi w:val="0"/>
        <w:spacing w:line="360" w:lineRule="auto"/>
        <w:ind w:firstLine="480"/>
        <w:textAlignment w:val="auto"/>
      </w:pPr>
      <w:r>
        <w:rPr>
          <w:rFonts w:hint="eastAsia"/>
        </w:rPr>
        <w:t xml:space="preserve">传  真： </w:t>
      </w:r>
      <w:r>
        <w:rPr>
          <w:u w:val="single"/>
        </w:rPr>
        <w:t xml:space="preserve">                             </w:t>
      </w:r>
    </w:p>
    <w:p>
      <w:pPr>
        <w:pageBreakBefore w:val="0"/>
        <w:kinsoku/>
        <w:bidi w:val="0"/>
        <w:spacing w:line="360" w:lineRule="auto"/>
        <w:ind w:firstLine="480"/>
        <w:textAlignment w:val="auto"/>
      </w:pPr>
      <w:r>
        <w:rPr>
          <w:rFonts w:hint="eastAsia"/>
        </w:rPr>
        <w:t xml:space="preserve">电  话： </w:t>
      </w:r>
      <w:r>
        <w:rPr>
          <w:u w:val="single"/>
        </w:rPr>
        <w:t xml:space="preserve">                             </w:t>
      </w:r>
    </w:p>
    <w:p>
      <w:pPr>
        <w:pageBreakBefore w:val="0"/>
        <w:kinsoku/>
        <w:bidi w:val="0"/>
        <w:spacing w:line="360" w:lineRule="auto"/>
        <w:ind w:firstLine="480"/>
        <w:textAlignment w:val="auto"/>
      </w:pPr>
      <w:r>
        <w:rPr>
          <w:rFonts w:hint="eastAsia"/>
        </w:rPr>
        <w:t>电子函件：</w:t>
      </w:r>
      <w:r>
        <w:rPr>
          <w:u w:val="single"/>
        </w:rPr>
        <w:t xml:space="preserve">                            </w:t>
      </w:r>
      <w:r>
        <w:rPr>
          <w:rFonts w:hint="eastAsia"/>
        </w:rPr>
        <w:t xml:space="preserve"> </w:t>
      </w:r>
    </w:p>
    <w:p>
      <w:pPr>
        <w:pageBreakBefore w:val="0"/>
        <w:kinsoku/>
        <w:bidi w:val="0"/>
        <w:spacing w:line="360" w:lineRule="auto"/>
        <w:ind w:firstLine="480"/>
        <w:textAlignment w:val="auto"/>
      </w:pPr>
    </w:p>
    <w:p>
      <w:pPr>
        <w:pageBreakBefore w:val="0"/>
        <w:kinsoku/>
        <w:bidi w:val="0"/>
        <w:spacing w:line="360" w:lineRule="auto"/>
        <w:ind w:firstLine="480"/>
        <w:jc w:val="right"/>
        <w:textAlignment w:val="auto"/>
      </w:pPr>
      <w:r>
        <w:rPr>
          <w:rFonts w:hint="eastAsia"/>
        </w:rPr>
        <w:t>投标人：</w:t>
      </w:r>
      <w:r>
        <w:rPr>
          <w:u w:val="single"/>
        </w:rPr>
        <w:t xml:space="preserve">                       </w:t>
      </w:r>
      <w:r>
        <w:rPr>
          <w:rFonts w:hint="eastAsia"/>
        </w:rPr>
        <w:t>（盖单位章）</w:t>
      </w:r>
    </w:p>
    <w:p>
      <w:pPr>
        <w:pageBreakBefore w:val="0"/>
        <w:kinsoku/>
        <w:bidi w:val="0"/>
        <w:spacing w:line="360" w:lineRule="auto"/>
        <w:ind w:firstLine="480"/>
        <w:jc w:val="right"/>
        <w:textAlignment w:val="auto"/>
      </w:pPr>
      <w:r>
        <w:rPr>
          <w:rFonts w:hint="eastAsia"/>
        </w:rPr>
        <w:t>法定代表人或其委托人：</w:t>
      </w:r>
      <w:r>
        <w:rPr>
          <w:u w:val="single"/>
        </w:rPr>
        <w:t xml:space="preserve">              </w:t>
      </w:r>
      <w:r>
        <w:rPr>
          <w:rFonts w:hint="eastAsia"/>
        </w:rPr>
        <w:t>（签字）</w:t>
      </w:r>
    </w:p>
    <w:p>
      <w:pPr>
        <w:pageBreakBefore w:val="0"/>
        <w:kinsoku/>
        <w:wordWrap w:val="0"/>
        <w:bidi w:val="0"/>
        <w:spacing w:line="360" w:lineRule="auto"/>
        <w:ind w:firstLine="480"/>
        <w:jc w:val="right"/>
        <w:textAlignment w:val="auto"/>
        <w:rPr>
          <w:u w:val="single"/>
        </w:rPr>
      </w:pPr>
      <w:r>
        <w:rPr>
          <w:rFonts w:hint="eastAsia"/>
        </w:rPr>
        <w:t>地址：</w:t>
      </w:r>
      <w:r>
        <w:rPr>
          <w:rFonts w:hint="eastAsia"/>
          <w:u w:val="single"/>
        </w:rPr>
        <w:t xml:space="preserve"> </w:t>
      </w:r>
      <w:r>
        <w:rPr>
          <w:u w:val="single"/>
        </w:rPr>
        <w:t xml:space="preserve">                                     </w:t>
      </w:r>
    </w:p>
    <w:p>
      <w:pPr>
        <w:pageBreakBefore w:val="0"/>
        <w:kinsoku/>
        <w:wordWrap w:val="0"/>
        <w:bidi w:val="0"/>
        <w:spacing w:line="360" w:lineRule="auto"/>
        <w:ind w:firstLine="480"/>
        <w:jc w:val="right"/>
        <w:textAlignment w:val="auto"/>
        <w:rPr>
          <w:u w:val="single"/>
        </w:rPr>
      </w:pPr>
      <w:r>
        <w:rPr>
          <w:rFonts w:hint="eastAsia"/>
        </w:rPr>
        <w:t>电话：</w:t>
      </w:r>
      <w:r>
        <w:rPr>
          <w:rFonts w:hint="eastAsia"/>
          <w:u w:val="single"/>
        </w:rPr>
        <w:t xml:space="preserve"> </w:t>
      </w:r>
      <w:r>
        <w:rPr>
          <w:u w:val="single"/>
        </w:rPr>
        <w:t xml:space="preserve">                                     </w:t>
      </w:r>
    </w:p>
    <w:p>
      <w:pPr>
        <w:pageBreakBefore w:val="0"/>
        <w:kinsoku/>
        <w:wordWrap w:val="0"/>
        <w:bidi w:val="0"/>
        <w:spacing w:line="360" w:lineRule="auto"/>
        <w:ind w:firstLine="480"/>
        <w:jc w:val="right"/>
        <w:textAlignment w:val="auto"/>
      </w:pPr>
      <w:r>
        <w:rPr>
          <w:rFonts w:hint="eastAsia"/>
        </w:rPr>
        <w:t>传真：</w:t>
      </w:r>
      <w:r>
        <w:rPr>
          <w:rFonts w:hint="eastAsia"/>
          <w:u w:val="single"/>
        </w:rPr>
        <w:t xml:space="preserve"> </w:t>
      </w:r>
      <w:r>
        <w:rPr>
          <w:u w:val="single"/>
        </w:rPr>
        <w:t xml:space="preserve">                                     </w:t>
      </w:r>
    </w:p>
    <w:p>
      <w:pPr>
        <w:pageBreakBefore w:val="0"/>
        <w:kinsoku/>
        <w:wordWrap w:val="0"/>
        <w:bidi w:val="0"/>
        <w:spacing w:line="360" w:lineRule="auto"/>
        <w:ind w:firstLine="480"/>
        <w:jc w:val="right"/>
        <w:textAlignment w:val="auto"/>
      </w:pPr>
      <w:r>
        <w:rPr>
          <w:rFonts w:hint="eastAsia"/>
        </w:rPr>
        <w:t>邮政编码：</w:t>
      </w:r>
      <w:r>
        <w:rPr>
          <w:u w:val="single"/>
        </w:rPr>
        <w:t xml:space="preserve">                                  </w:t>
      </w:r>
    </w:p>
    <w:p>
      <w:pPr>
        <w:pageBreakBefore w:val="0"/>
        <w:kinsoku/>
        <w:bidi w:val="0"/>
        <w:spacing w:line="360" w:lineRule="auto"/>
        <w:ind w:firstLine="480"/>
        <w:textAlignment w:val="auto"/>
      </w:pPr>
    </w:p>
    <w:p>
      <w:pPr>
        <w:pageBreakBefore w:val="0"/>
        <w:kinsoku/>
        <w:bidi w:val="0"/>
        <w:spacing w:line="360" w:lineRule="auto"/>
        <w:ind w:firstLine="480"/>
        <w:jc w:val="right"/>
        <w:textAlignment w:val="auto"/>
      </w:pPr>
      <w:r>
        <w:rPr>
          <w:rFonts w:hint="eastAsia"/>
        </w:rPr>
        <w:t>_______年_______月_______日</w:t>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Style w:val="58"/>
        <w:pageBreakBefore w:val="0"/>
        <w:numPr>
          <w:ilvl w:val="1"/>
          <w:numId w:val="0"/>
        </w:numPr>
        <w:kinsoku/>
        <w:bidi w:val="0"/>
        <w:spacing w:line="360" w:lineRule="auto"/>
        <w:ind w:leftChars="0"/>
        <w:jc w:val="center"/>
        <w:textAlignment w:val="auto"/>
        <w:rPr>
          <w:rFonts w:hint="eastAsia"/>
        </w:rPr>
      </w:pPr>
      <w:bookmarkStart w:id="119" w:name="_Toc437271301"/>
      <w:r>
        <w:rPr>
          <w:rFonts w:hint="eastAsia"/>
          <w:lang w:val="en-US" w:eastAsia="zh-CN"/>
        </w:rPr>
        <w:t>二、</w:t>
      </w:r>
      <w:r>
        <w:rPr>
          <w:rFonts w:hint="eastAsia"/>
        </w:rPr>
        <w:t>法定代表人身份证明</w:t>
      </w:r>
      <w:bookmarkEnd w:id="119"/>
    </w:p>
    <w:p>
      <w:pPr>
        <w:pageBreakBefore w:val="0"/>
        <w:kinsoku/>
        <w:bidi w:val="0"/>
        <w:spacing w:line="360" w:lineRule="auto"/>
        <w:ind w:firstLine="480"/>
        <w:jc w:val="left"/>
        <w:textAlignment w:val="auto"/>
      </w:pPr>
      <w:r>
        <w:rPr>
          <w:rFonts w:hint="eastAsia"/>
        </w:rPr>
        <w:t>投标人名称： _____________________________________________</w:t>
      </w:r>
    </w:p>
    <w:p>
      <w:pPr>
        <w:pageBreakBefore w:val="0"/>
        <w:kinsoku/>
        <w:bidi w:val="0"/>
        <w:spacing w:line="360" w:lineRule="auto"/>
        <w:ind w:firstLine="480"/>
        <w:jc w:val="left"/>
        <w:textAlignment w:val="auto"/>
      </w:pPr>
      <w:r>
        <w:rPr>
          <w:rFonts w:hint="eastAsia"/>
        </w:rPr>
        <w:t>单位性质：_____________________________</w:t>
      </w:r>
      <w:r>
        <w:rPr>
          <w:u w:val="single"/>
        </w:rPr>
        <w:t xml:space="preserve">  </w:t>
      </w:r>
      <w:r>
        <w:rPr>
          <w:rFonts w:hint="eastAsia"/>
          <w:u w:val="single"/>
        </w:rPr>
        <w:t>_</w:t>
      </w:r>
      <w:r>
        <w:rPr>
          <w:rFonts w:hint="eastAsia"/>
        </w:rPr>
        <w:t>________________</w:t>
      </w:r>
    </w:p>
    <w:p>
      <w:pPr>
        <w:pageBreakBefore w:val="0"/>
        <w:kinsoku/>
        <w:bidi w:val="0"/>
        <w:spacing w:line="360" w:lineRule="auto"/>
        <w:ind w:firstLine="480"/>
        <w:jc w:val="left"/>
        <w:textAlignment w:val="auto"/>
      </w:pPr>
      <w:r>
        <w:rPr>
          <w:rFonts w:hint="eastAsia"/>
        </w:rPr>
        <w:t>地址： ___________________________________________________</w:t>
      </w:r>
    </w:p>
    <w:p>
      <w:pPr>
        <w:pageBreakBefore w:val="0"/>
        <w:kinsoku/>
        <w:bidi w:val="0"/>
        <w:spacing w:line="360" w:lineRule="auto"/>
        <w:ind w:firstLine="480"/>
        <w:textAlignment w:val="auto"/>
      </w:pPr>
      <w:r>
        <w:rPr>
          <w:rFonts w:hint="eastAsia"/>
        </w:rPr>
        <w:t>成立时间：______年_______月________日</w:t>
      </w:r>
    </w:p>
    <w:p>
      <w:pPr>
        <w:pageBreakBefore w:val="0"/>
        <w:kinsoku/>
        <w:bidi w:val="0"/>
        <w:spacing w:line="360" w:lineRule="auto"/>
        <w:ind w:firstLine="480"/>
        <w:textAlignment w:val="auto"/>
      </w:pPr>
      <w:r>
        <w:rPr>
          <w:rFonts w:hint="eastAsia"/>
        </w:rPr>
        <w:t>经营期限：____________________________</w:t>
      </w:r>
    </w:p>
    <w:p>
      <w:pPr>
        <w:pageBreakBefore w:val="0"/>
        <w:kinsoku/>
        <w:bidi w:val="0"/>
        <w:spacing w:line="360" w:lineRule="auto"/>
        <w:ind w:firstLine="480"/>
        <w:textAlignment w:val="auto"/>
      </w:pPr>
      <w:r>
        <w:rPr>
          <w:rFonts w:hint="eastAsia"/>
        </w:rPr>
        <w:t>姓名：___________ 性别：____ 年龄：___________ 职务：</w:t>
      </w:r>
      <w:r>
        <w:rPr>
          <w:rFonts w:hint="eastAsia"/>
          <w:u w:val="single"/>
        </w:rPr>
        <w:t>_____</w:t>
      </w:r>
      <w:r>
        <w:rPr>
          <w:u w:val="single"/>
        </w:rPr>
        <w:t xml:space="preserve">     </w:t>
      </w:r>
      <w:r>
        <w:rPr>
          <w:rFonts w:hint="eastAsia"/>
          <w:u w:val="single"/>
        </w:rPr>
        <w:t>__</w:t>
      </w:r>
      <w:r>
        <w:rPr>
          <w:rFonts w:hint="eastAsia"/>
        </w:rPr>
        <w:t>系_</w:t>
      </w:r>
      <w:r>
        <w:t>_______________</w:t>
      </w:r>
      <w:r>
        <w:rPr>
          <w:rFonts w:hint="eastAsia"/>
        </w:rPr>
        <w:t>___（投标人名称）的法定代表人。</w:t>
      </w:r>
    </w:p>
    <w:p>
      <w:pPr>
        <w:pageBreakBefore w:val="0"/>
        <w:kinsoku/>
        <w:bidi w:val="0"/>
        <w:spacing w:line="360" w:lineRule="auto"/>
        <w:ind w:firstLine="480"/>
        <w:textAlignment w:val="auto"/>
      </w:pPr>
    </w:p>
    <w:p>
      <w:pPr>
        <w:pageBreakBefore w:val="0"/>
        <w:kinsoku/>
        <w:bidi w:val="0"/>
        <w:spacing w:line="360" w:lineRule="auto"/>
        <w:ind w:firstLine="480"/>
        <w:textAlignment w:val="auto"/>
      </w:pPr>
      <w:r>
        <w:rPr>
          <w:rFonts w:hint="eastAsia"/>
        </w:rPr>
        <w:t>特此证明。</w:t>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jc w:val="right"/>
        <w:textAlignment w:val="auto"/>
      </w:pPr>
      <w:r>
        <w:rPr>
          <w:rFonts w:hint="eastAsia"/>
        </w:rPr>
        <w:t>投标人：___________________（盖单位章）</w:t>
      </w:r>
    </w:p>
    <w:p>
      <w:pPr>
        <w:pageBreakBefore w:val="0"/>
        <w:kinsoku/>
        <w:bidi w:val="0"/>
        <w:spacing w:line="360" w:lineRule="auto"/>
        <w:ind w:right="480" w:firstLine="480"/>
        <w:jc w:val="right"/>
        <w:textAlignment w:val="auto"/>
      </w:pPr>
      <w:r>
        <w:rPr>
          <w:rFonts w:hint="eastAsia"/>
        </w:rPr>
        <w:t>______年_______月________日</w:t>
      </w:r>
    </w:p>
    <w:p>
      <w:pPr>
        <w:pageBreakBefore w:val="0"/>
        <w:kinsoku/>
        <w:bidi w:val="0"/>
        <w:spacing w:line="360" w:lineRule="auto"/>
        <w:ind w:firstLine="480"/>
        <w:textAlignment w:val="auto"/>
      </w:pPr>
    </w:p>
    <w:p>
      <w:pPr>
        <w:pageBreakBefore w:val="0"/>
        <w:kinsoku/>
        <w:bidi w:val="0"/>
        <w:spacing w:line="360" w:lineRule="auto"/>
        <w:ind w:firstLine="480"/>
        <w:textAlignment w:val="auto"/>
      </w:pPr>
      <w:r>
        <w:br w:type="page"/>
      </w:r>
    </w:p>
    <w:p>
      <w:pPr>
        <w:pStyle w:val="58"/>
        <w:pageBreakBefore w:val="0"/>
        <w:numPr>
          <w:ilvl w:val="0"/>
          <w:numId w:val="0"/>
        </w:numPr>
        <w:kinsoku/>
        <w:bidi w:val="0"/>
        <w:spacing w:line="360" w:lineRule="auto"/>
        <w:ind w:left="576"/>
        <w:jc w:val="center"/>
        <w:textAlignment w:val="auto"/>
      </w:pPr>
      <w:bookmarkStart w:id="120" w:name="_Toc437271302"/>
      <w:r>
        <w:rPr>
          <w:rFonts w:hint="eastAsia"/>
          <w:lang w:val="en-US" w:eastAsia="zh-CN"/>
        </w:rPr>
        <w:t>三</w:t>
      </w:r>
      <w:r>
        <w:rPr>
          <w:rFonts w:hint="eastAsia"/>
        </w:rPr>
        <w:t>、授权委托书</w:t>
      </w:r>
      <w:bookmarkEnd w:id="120"/>
    </w:p>
    <w:p>
      <w:pPr>
        <w:pageBreakBefore w:val="0"/>
        <w:kinsoku/>
        <w:bidi w:val="0"/>
        <w:spacing w:line="360" w:lineRule="auto"/>
        <w:ind w:firstLine="480"/>
        <w:textAlignment w:val="auto"/>
      </w:pPr>
      <w:r>
        <w:rPr>
          <w:rFonts w:hint="eastAsia"/>
        </w:rPr>
        <w:t>本人__________(姓名）系_________________</w:t>
      </w:r>
      <w:r>
        <w:rPr>
          <w:rFonts w:hint="eastAsia"/>
        </w:rPr>
        <w:tab/>
      </w:r>
      <w:r>
        <w:rPr>
          <w:rFonts w:hint="eastAsia"/>
        </w:rPr>
        <w:t>(投标人名称）的法定代表人，现委托_______(姓名)为我方代理人。委托代理人根据授权，以我方名义签署、澄清、补正、递交、撤回、修改____________________________(项目名称）投标文件、签订合同和处理有关事宜，其行为我方均予以认可，其法律后果由我方承担。</w:t>
      </w:r>
    </w:p>
    <w:p>
      <w:pPr>
        <w:pageBreakBefore w:val="0"/>
        <w:kinsoku/>
        <w:bidi w:val="0"/>
        <w:spacing w:line="360" w:lineRule="auto"/>
        <w:ind w:firstLine="480"/>
        <w:textAlignment w:val="auto"/>
      </w:pPr>
      <w:r>
        <w:rPr>
          <w:rFonts w:hint="eastAsia"/>
        </w:rPr>
        <w:t>委托期限:_____________________。</w:t>
      </w:r>
    </w:p>
    <w:p>
      <w:pPr>
        <w:pageBreakBefore w:val="0"/>
        <w:kinsoku/>
        <w:bidi w:val="0"/>
        <w:spacing w:line="360" w:lineRule="auto"/>
        <w:ind w:firstLine="480"/>
        <w:textAlignment w:val="auto"/>
      </w:pPr>
      <w:r>
        <w:rPr>
          <w:rFonts w:hint="eastAsia"/>
        </w:rPr>
        <w:t>委托代理人无转委托权。</w:t>
      </w:r>
    </w:p>
    <w:p>
      <w:pPr>
        <w:pageBreakBefore w:val="0"/>
        <w:kinsoku/>
        <w:bidi w:val="0"/>
        <w:spacing w:line="360" w:lineRule="auto"/>
        <w:ind w:firstLine="480"/>
        <w:textAlignment w:val="auto"/>
      </w:pPr>
      <w:r>
        <w:rPr>
          <w:rFonts w:hint="eastAsia"/>
        </w:rPr>
        <w:t>附：法定代表人身份证明、委托代理人身份证明</w:t>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r>
        <w:rPr>
          <w:rFonts w:hint="eastAsia"/>
        </w:rPr>
        <w:t>投标人：________________________________________（盖单位章）</w:t>
      </w:r>
    </w:p>
    <w:p>
      <w:pPr>
        <w:pageBreakBefore w:val="0"/>
        <w:kinsoku/>
        <w:bidi w:val="0"/>
        <w:spacing w:line="360" w:lineRule="auto"/>
        <w:ind w:firstLine="480"/>
        <w:textAlignment w:val="auto"/>
      </w:pPr>
    </w:p>
    <w:p>
      <w:pPr>
        <w:pageBreakBefore w:val="0"/>
        <w:kinsoku/>
        <w:bidi w:val="0"/>
        <w:spacing w:line="360" w:lineRule="auto"/>
        <w:ind w:firstLine="480"/>
        <w:textAlignment w:val="auto"/>
      </w:pPr>
      <w:r>
        <w:rPr>
          <w:rFonts w:hint="eastAsia"/>
        </w:rPr>
        <w:t>法定代表人：_____________________________________（签字）</w:t>
      </w:r>
    </w:p>
    <w:p>
      <w:pPr>
        <w:pageBreakBefore w:val="0"/>
        <w:kinsoku/>
        <w:bidi w:val="0"/>
        <w:spacing w:line="360" w:lineRule="auto"/>
        <w:ind w:firstLine="480"/>
        <w:textAlignment w:val="auto"/>
      </w:pPr>
    </w:p>
    <w:p>
      <w:pPr>
        <w:pageBreakBefore w:val="0"/>
        <w:kinsoku/>
        <w:bidi w:val="0"/>
        <w:spacing w:line="360" w:lineRule="auto"/>
        <w:ind w:firstLine="480"/>
        <w:textAlignment w:val="auto"/>
      </w:pPr>
      <w:r>
        <w:rPr>
          <w:rFonts w:hint="eastAsia"/>
        </w:rPr>
        <w:t>身份证号码：______________________________________</w:t>
      </w:r>
    </w:p>
    <w:p>
      <w:pPr>
        <w:pageBreakBefore w:val="0"/>
        <w:kinsoku/>
        <w:bidi w:val="0"/>
        <w:spacing w:line="360" w:lineRule="auto"/>
        <w:ind w:firstLine="480"/>
        <w:textAlignment w:val="auto"/>
      </w:pPr>
    </w:p>
    <w:p>
      <w:pPr>
        <w:pageBreakBefore w:val="0"/>
        <w:kinsoku/>
        <w:bidi w:val="0"/>
        <w:spacing w:line="360" w:lineRule="auto"/>
        <w:ind w:firstLine="480"/>
        <w:textAlignment w:val="auto"/>
      </w:pPr>
      <w:r>
        <w:rPr>
          <w:rFonts w:hint="eastAsia"/>
        </w:rPr>
        <w:t>委托代理人：______________________________________（签字）</w:t>
      </w:r>
    </w:p>
    <w:p>
      <w:pPr>
        <w:pageBreakBefore w:val="0"/>
        <w:kinsoku/>
        <w:bidi w:val="0"/>
        <w:spacing w:line="360" w:lineRule="auto"/>
        <w:ind w:firstLine="480"/>
        <w:textAlignment w:val="auto"/>
      </w:pPr>
    </w:p>
    <w:p>
      <w:pPr>
        <w:pageBreakBefore w:val="0"/>
        <w:kinsoku/>
        <w:bidi w:val="0"/>
        <w:spacing w:line="360" w:lineRule="auto"/>
        <w:ind w:firstLine="480"/>
        <w:textAlignment w:val="auto"/>
      </w:pPr>
      <w:r>
        <w:rPr>
          <w:rFonts w:hint="eastAsia"/>
        </w:rPr>
        <w:t>身份证号码：______________________________________</w:t>
      </w:r>
    </w:p>
    <w:p>
      <w:pPr>
        <w:pageBreakBefore w:val="0"/>
        <w:kinsoku/>
        <w:bidi w:val="0"/>
        <w:spacing w:line="360" w:lineRule="auto"/>
        <w:ind w:firstLine="480"/>
        <w:textAlignment w:val="auto"/>
      </w:pPr>
    </w:p>
    <w:p>
      <w:pPr>
        <w:pageBreakBefore w:val="0"/>
        <w:kinsoku/>
        <w:bidi w:val="0"/>
        <w:spacing w:line="360" w:lineRule="auto"/>
        <w:ind w:firstLine="480"/>
        <w:textAlignment w:val="auto"/>
      </w:pPr>
      <w:r>
        <w:rPr>
          <w:rFonts w:hint="eastAsia"/>
        </w:rPr>
        <w:t xml:space="preserve">                              ________年______月_______日</w:t>
      </w:r>
    </w:p>
    <w:p>
      <w:pPr>
        <w:pageBreakBefore w:val="0"/>
        <w:kinsoku/>
        <w:bidi w:val="0"/>
        <w:spacing w:line="360" w:lineRule="auto"/>
        <w:ind w:firstLine="480"/>
        <w:textAlignment w:val="auto"/>
      </w:pPr>
      <w:r>
        <w:t> </w:t>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jc w:val="center"/>
        <w:textAlignment w:val="auto"/>
        <w:rPr>
          <w:rFonts w:eastAsia="黑体"/>
          <w:b/>
          <w:sz w:val="32"/>
          <w:szCs w:val="32"/>
        </w:rPr>
      </w:pPr>
      <w:r>
        <w:rPr>
          <w:rFonts w:hint="eastAsia" w:cstheme="majorBidi"/>
          <w:b/>
          <w:bCs/>
          <w:kern w:val="2"/>
          <w:sz w:val="24"/>
          <w:szCs w:val="32"/>
          <w:lang w:val="en-US" w:eastAsia="zh-CN" w:bidi="ar-SA"/>
        </w:rPr>
        <w:t>四、</w:t>
      </w:r>
      <w:r>
        <w:rPr>
          <w:rFonts w:hint="eastAsia" w:ascii="Arial" w:hAnsi="Arial" w:eastAsia="宋体" w:cstheme="majorBidi"/>
          <w:b/>
          <w:bCs/>
          <w:kern w:val="2"/>
          <w:sz w:val="24"/>
          <w:szCs w:val="32"/>
          <w:lang w:val="en-US" w:eastAsia="zh-CN" w:bidi="ar-SA"/>
        </w:rPr>
        <w:t>联合体</w:t>
      </w:r>
      <w:r>
        <w:rPr>
          <w:rFonts w:hint="eastAsia" w:cstheme="majorBidi"/>
          <w:b/>
          <w:bCs/>
          <w:kern w:val="2"/>
          <w:sz w:val="24"/>
          <w:szCs w:val="32"/>
          <w:lang w:val="en-US" w:eastAsia="zh-CN" w:bidi="ar-SA"/>
        </w:rPr>
        <w:t>协议</w:t>
      </w:r>
      <w:r>
        <w:rPr>
          <w:rFonts w:hint="eastAsia" w:ascii="Arial" w:hAnsi="Arial" w:eastAsia="宋体" w:cstheme="majorBidi"/>
          <w:b/>
          <w:bCs/>
          <w:kern w:val="2"/>
          <w:sz w:val="24"/>
          <w:szCs w:val="32"/>
          <w:lang w:val="en-US" w:eastAsia="zh-CN" w:bidi="ar-SA"/>
        </w:rPr>
        <w:t>书</w:t>
      </w:r>
      <w:bookmarkStart w:id="121" w:name="_Toc434838089"/>
      <w:bookmarkStart w:id="122" w:name="_Toc32703"/>
      <w:bookmarkStart w:id="123" w:name="_Toc14543"/>
      <w:bookmarkStart w:id="124" w:name="_Toc10470"/>
      <w:r>
        <w:rPr>
          <w:rFonts w:hint="eastAsia" w:ascii="Arial" w:hAnsi="Arial" w:eastAsia="宋体" w:cstheme="majorBidi"/>
          <w:b/>
          <w:bCs/>
          <w:kern w:val="2"/>
          <w:sz w:val="24"/>
          <w:szCs w:val="32"/>
          <w:lang w:val="en-US" w:eastAsia="zh-CN" w:bidi="ar-SA"/>
        </w:rPr>
        <w:t>（如有）</w:t>
      </w:r>
      <w:bookmarkEnd w:id="121"/>
      <w:bookmarkEnd w:id="122"/>
      <w:bookmarkEnd w:id="123"/>
      <w:bookmarkEnd w:id="124"/>
    </w:p>
    <w:p>
      <w:pPr>
        <w:spacing w:line="360" w:lineRule="auto"/>
        <w:ind w:firstLine="480" w:firstLineChars="200"/>
        <w:rPr>
          <w:rFonts w:ascii="新宋体" w:hAnsi="新宋体" w:eastAsia="新宋体"/>
          <w:sz w:val="24"/>
        </w:rPr>
      </w:pPr>
      <w:r>
        <w:rPr>
          <w:rFonts w:hint="eastAsia" w:ascii="新宋体" w:hAnsi="新宋体" w:eastAsia="新宋体"/>
          <w:sz w:val="24"/>
        </w:rPr>
        <w:t>甲公司</w:t>
      </w:r>
      <w:r>
        <w:rPr>
          <w:rFonts w:ascii="新宋体" w:hAnsi="新宋体" w:eastAsia="新宋体"/>
          <w:sz w:val="24"/>
        </w:rPr>
        <w:t>（</w:t>
      </w:r>
      <w:r>
        <w:rPr>
          <w:rFonts w:hint="eastAsia" w:ascii="新宋体" w:hAnsi="新宋体" w:eastAsia="新宋体"/>
          <w:sz w:val="24"/>
        </w:rPr>
        <w:t>全称</w:t>
      </w:r>
      <w:r>
        <w:rPr>
          <w:rFonts w:ascii="新宋体" w:hAnsi="新宋体" w:eastAsia="新宋体"/>
          <w:sz w:val="24"/>
        </w:rPr>
        <w:t>）</w:t>
      </w:r>
      <w:r>
        <w:rPr>
          <w:rFonts w:hint="eastAsia" w:ascii="新宋体" w:hAnsi="新宋体" w:eastAsia="新宋体"/>
          <w:sz w:val="24"/>
        </w:rPr>
        <w:t>：</w:t>
      </w:r>
      <w:r>
        <w:rPr>
          <w:rFonts w:hint="eastAsia" w:ascii="新宋体" w:hAnsi="新宋体" w:eastAsia="新宋体"/>
          <w:sz w:val="24"/>
          <w:u w:val="single"/>
          <w:lang w:val="en-US" w:eastAsia="zh-CN"/>
        </w:rPr>
        <w:t xml:space="preserve">                           </w:t>
      </w:r>
    </w:p>
    <w:p>
      <w:pPr>
        <w:spacing w:line="360" w:lineRule="auto"/>
        <w:ind w:firstLine="480" w:firstLineChars="200"/>
        <w:rPr>
          <w:rFonts w:ascii="新宋体" w:hAnsi="新宋体" w:eastAsia="新宋体"/>
          <w:sz w:val="24"/>
        </w:rPr>
      </w:pPr>
      <w:r>
        <w:rPr>
          <w:rFonts w:hint="eastAsia" w:ascii="新宋体" w:hAnsi="新宋体" w:eastAsia="新宋体"/>
          <w:sz w:val="24"/>
        </w:rPr>
        <w:t>乙公司</w:t>
      </w:r>
      <w:r>
        <w:rPr>
          <w:rFonts w:ascii="新宋体" w:hAnsi="新宋体" w:eastAsia="新宋体"/>
          <w:sz w:val="24"/>
        </w:rPr>
        <w:t>（</w:t>
      </w:r>
      <w:r>
        <w:rPr>
          <w:rFonts w:hint="eastAsia" w:ascii="新宋体" w:hAnsi="新宋体" w:eastAsia="新宋体"/>
          <w:sz w:val="24"/>
        </w:rPr>
        <w:t>全称</w:t>
      </w:r>
      <w:r>
        <w:rPr>
          <w:rFonts w:ascii="新宋体" w:hAnsi="新宋体" w:eastAsia="新宋体"/>
          <w:sz w:val="24"/>
        </w:rPr>
        <w:t>）</w:t>
      </w:r>
      <w:r>
        <w:rPr>
          <w:rFonts w:hint="eastAsia" w:ascii="新宋体" w:hAnsi="新宋体" w:eastAsia="新宋体"/>
          <w:sz w:val="24"/>
        </w:rPr>
        <w:t>：</w:t>
      </w:r>
      <w:r>
        <w:rPr>
          <w:rFonts w:hint="eastAsia" w:ascii="新宋体" w:hAnsi="新宋体" w:eastAsia="新宋体"/>
          <w:sz w:val="24"/>
          <w:u w:val="single"/>
          <w:lang w:val="en-US" w:eastAsia="zh-CN"/>
        </w:rPr>
        <w:t xml:space="preserve">                           </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本协议书</w:t>
      </w:r>
      <w:r>
        <w:rPr>
          <w:rFonts w:ascii="新宋体" w:hAnsi="新宋体" w:eastAsia="新宋体"/>
          <w:sz w:val="24"/>
        </w:rPr>
        <w:t>各方遵循平等、</w:t>
      </w:r>
      <w:r>
        <w:rPr>
          <w:rFonts w:hint="eastAsia" w:ascii="新宋体" w:hAnsi="新宋体" w:eastAsia="新宋体"/>
          <w:sz w:val="24"/>
        </w:rPr>
        <w:t>自愿</w:t>
      </w:r>
      <w:r>
        <w:rPr>
          <w:rFonts w:ascii="新宋体" w:hAnsi="新宋体" w:eastAsia="新宋体"/>
          <w:sz w:val="24"/>
        </w:rPr>
        <w:t>、公平和诚实守信的原则，共同愿意组成联合体，实施、完成合同内容。</w:t>
      </w:r>
      <w:r>
        <w:rPr>
          <w:rFonts w:hint="eastAsia" w:ascii="新宋体" w:hAnsi="新宋体" w:eastAsia="新宋体"/>
          <w:sz w:val="24"/>
        </w:rPr>
        <w:t>现就</w:t>
      </w:r>
      <w:r>
        <w:rPr>
          <w:rFonts w:ascii="新宋体" w:hAnsi="新宋体" w:eastAsia="新宋体"/>
          <w:sz w:val="24"/>
        </w:rPr>
        <w:t>下列有关事宜，订立本协议书。</w:t>
      </w:r>
    </w:p>
    <w:p>
      <w:pPr>
        <w:spacing w:line="360" w:lineRule="auto"/>
        <w:ind w:firstLine="480" w:firstLineChars="200"/>
        <w:rPr>
          <w:rFonts w:ascii="新宋体" w:hAnsi="新宋体" w:eastAsia="新宋体"/>
          <w:sz w:val="24"/>
        </w:rPr>
      </w:pPr>
      <w:r>
        <w:rPr>
          <w:rFonts w:hint="eastAsia" w:ascii="新宋体" w:hAnsi="新宋体" w:eastAsia="新宋体"/>
          <w:sz w:val="24"/>
        </w:rPr>
        <w:t>1._</w:t>
      </w:r>
      <w:r>
        <w:rPr>
          <w:rFonts w:ascii="新宋体" w:hAnsi="新宋体" w:eastAsia="新宋体"/>
          <w:sz w:val="24"/>
        </w:rPr>
        <w:t>___________________</w:t>
      </w:r>
      <w:r>
        <w:rPr>
          <w:rFonts w:hint="eastAsia" w:ascii="新宋体" w:hAnsi="新宋体" w:eastAsia="新宋体"/>
          <w:sz w:val="24"/>
        </w:rPr>
        <w:t>为</w:t>
      </w:r>
      <w:r>
        <w:rPr>
          <w:rFonts w:ascii="新宋体" w:hAnsi="新宋体" w:eastAsia="新宋体"/>
          <w:sz w:val="24"/>
        </w:rPr>
        <w:t>联合体牵头人，</w:t>
      </w:r>
      <w:r>
        <w:rPr>
          <w:rFonts w:hint="eastAsia" w:ascii="新宋体" w:hAnsi="新宋体" w:eastAsia="新宋体"/>
          <w:sz w:val="24"/>
        </w:rPr>
        <w:t>___</w:t>
      </w:r>
      <w:r>
        <w:rPr>
          <w:rFonts w:ascii="新宋体" w:hAnsi="新宋体" w:eastAsia="新宋体"/>
          <w:sz w:val="24"/>
        </w:rPr>
        <w:t>__</w:t>
      </w:r>
      <w:r>
        <w:rPr>
          <w:rFonts w:hint="eastAsia" w:ascii="新宋体" w:hAnsi="新宋体" w:eastAsia="新宋体"/>
          <w:sz w:val="24"/>
        </w:rPr>
        <w:t>__________为</w:t>
      </w:r>
      <w:r>
        <w:rPr>
          <w:rFonts w:ascii="新宋体" w:hAnsi="新宋体" w:eastAsia="新宋体"/>
          <w:sz w:val="24"/>
        </w:rPr>
        <w:t xml:space="preserve">联合体成员。                                                 </w:t>
      </w:r>
    </w:p>
    <w:p>
      <w:pPr>
        <w:spacing w:line="360" w:lineRule="auto"/>
        <w:ind w:firstLine="480" w:firstLineChars="200"/>
        <w:rPr>
          <w:rFonts w:ascii="新宋体" w:hAnsi="新宋体" w:eastAsia="新宋体"/>
          <w:sz w:val="24"/>
        </w:rPr>
      </w:pPr>
      <w:r>
        <w:rPr>
          <w:rFonts w:ascii="新宋体" w:hAnsi="新宋体" w:eastAsia="新宋体"/>
          <w:sz w:val="24"/>
        </w:rPr>
        <w:t>2.</w:t>
      </w:r>
      <w:r>
        <w:rPr>
          <w:rFonts w:hint="eastAsia" w:ascii="新宋体" w:hAnsi="新宋体" w:eastAsia="新宋体"/>
          <w:sz w:val="24"/>
        </w:rPr>
        <w:t>联合体</w:t>
      </w:r>
      <w:r>
        <w:rPr>
          <w:rFonts w:ascii="新宋体" w:hAnsi="新宋体" w:eastAsia="新宋体"/>
          <w:sz w:val="24"/>
        </w:rPr>
        <w:t>内部有关事项规定如下：</w:t>
      </w:r>
    </w:p>
    <w:p>
      <w:pPr>
        <w:spacing w:line="360" w:lineRule="auto"/>
        <w:ind w:firstLine="480" w:firstLineChars="200"/>
        <w:rPr>
          <w:rFonts w:ascii="新宋体" w:hAnsi="新宋体" w:eastAsia="新宋体"/>
          <w:sz w:val="24"/>
        </w:rPr>
      </w:pPr>
      <w:r>
        <w:rPr>
          <w:rFonts w:ascii="新宋体" w:hAnsi="新宋体" w:eastAsia="新宋体"/>
          <w:sz w:val="24"/>
        </w:rPr>
        <w:t>2.1</w:t>
      </w:r>
      <w:r>
        <w:rPr>
          <w:rFonts w:hint="eastAsia" w:ascii="新宋体" w:hAnsi="新宋体" w:eastAsia="新宋体"/>
          <w:sz w:val="24"/>
        </w:rPr>
        <w:t>联合体由</w:t>
      </w:r>
      <w:r>
        <w:rPr>
          <w:rFonts w:ascii="新宋体" w:hAnsi="新宋体" w:eastAsia="新宋体"/>
          <w:sz w:val="24"/>
        </w:rPr>
        <w:t>牵头人负责与采购人联系；</w:t>
      </w:r>
    </w:p>
    <w:p>
      <w:pPr>
        <w:spacing w:line="360" w:lineRule="auto"/>
        <w:ind w:firstLine="480" w:firstLineChars="200"/>
        <w:rPr>
          <w:rFonts w:ascii="新宋体" w:hAnsi="新宋体" w:eastAsia="新宋体"/>
          <w:sz w:val="24"/>
        </w:rPr>
      </w:pPr>
      <w:r>
        <w:rPr>
          <w:rFonts w:ascii="新宋体" w:hAnsi="新宋体" w:eastAsia="新宋体"/>
          <w:sz w:val="24"/>
        </w:rPr>
        <w:t>2.2</w:t>
      </w:r>
      <w:r>
        <w:rPr>
          <w:rFonts w:hint="eastAsia" w:ascii="新宋体" w:hAnsi="新宋体" w:eastAsia="新宋体"/>
          <w:sz w:val="24"/>
        </w:rPr>
        <w:t>合同项目</w:t>
      </w:r>
      <w:r>
        <w:rPr>
          <w:rFonts w:ascii="新宋体" w:hAnsi="新宋体" w:eastAsia="新宋体"/>
          <w:sz w:val="24"/>
        </w:rPr>
        <w:t>一切工作</w:t>
      </w:r>
      <w:r>
        <w:rPr>
          <w:rFonts w:hint="eastAsia" w:ascii="新宋体" w:hAnsi="新宋体" w:eastAsia="新宋体"/>
          <w:sz w:val="24"/>
        </w:rPr>
        <w:t>由</w:t>
      </w:r>
      <w:r>
        <w:rPr>
          <w:rFonts w:ascii="新宋体" w:hAnsi="新宋体" w:eastAsia="新宋体"/>
          <w:sz w:val="24"/>
        </w:rPr>
        <w:t>联合体牵头人</w:t>
      </w:r>
      <w:r>
        <w:rPr>
          <w:rFonts w:hint="eastAsia" w:ascii="新宋体" w:hAnsi="新宋体" w:eastAsia="新宋体"/>
          <w:sz w:val="24"/>
        </w:rPr>
        <w:t>负责组织</w:t>
      </w:r>
      <w:r>
        <w:rPr>
          <w:rFonts w:ascii="新宋体" w:hAnsi="新宋体" w:eastAsia="新宋体"/>
          <w:sz w:val="24"/>
        </w:rPr>
        <w:t>，由联合体</w:t>
      </w:r>
      <w:r>
        <w:rPr>
          <w:rFonts w:hint="eastAsia" w:ascii="新宋体" w:hAnsi="新宋体" w:eastAsia="新宋体"/>
          <w:sz w:val="24"/>
        </w:rPr>
        <w:t>各方按内</w:t>
      </w:r>
      <w:r>
        <w:rPr>
          <w:rFonts w:ascii="新宋体" w:hAnsi="新宋体" w:eastAsia="新宋体"/>
          <w:sz w:val="24"/>
        </w:rPr>
        <w:t>部划分比例或者内容具体实施</w:t>
      </w:r>
      <w:r>
        <w:rPr>
          <w:rFonts w:hint="eastAsia" w:ascii="新宋体" w:hAnsi="新宋体" w:eastAsia="新宋体"/>
          <w:sz w:val="24"/>
        </w:rPr>
        <w:t>；</w:t>
      </w:r>
    </w:p>
    <w:p>
      <w:pPr>
        <w:spacing w:line="360" w:lineRule="auto"/>
        <w:ind w:firstLine="480" w:firstLineChars="200"/>
        <w:rPr>
          <w:rFonts w:ascii="新宋体" w:hAnsi="新宋体" w:eastAsia="新宋体"/>
          <w:sz w:val="24"/>
        </w:rPr>
      </w:pPr>
      <w:r>
        <w:rPr>
          <w:rFonts w:ascii="新宋体" w:hAnsi="新宋体" w:eastAsia="新宋体"/>
          <w:sz w:val="24"/>
        </w:rPr>
        <w:t>2.3</w:t>
      </w:r>
      <w:r>
        <w:rPr>
          <w:rFonts w:hint="eastAsia" w:ascii="新宋体" w:hAnsi="新宋体" w:eastAsia="新宋体"/>
          <w:sz w:val="24"/>
        </w:rPr>
        <w:t>联合体</w:t>
      </w:r>
      <w:r>
        <w:rPr>
          <w:rFonts w:ascii="新宋体" w:hAnsi="新宋体" w:eastAsia="新宋体"/>
          <w:sz w:val="24"/>
        </w:rPr>
        <w:t>将严格按照资格预审文件的各项要求，切实执行一切合同文件，共同承担合同约定的一切</w:t>
      </w:r>
      <w:r>
        <w:rPr>
          <w:rFonts w:hint="eastAsia" w:ascii="新宋体" w:hAnsi="新宋体" w:eastAsia="新宋体"/>
          <w:sz w:val="24"/>
        </w:rPr>
        <w:t>义务</w:t>
      </w:r>
      <w:r>
        <w:rPr>
          <w:rFonts w:ascii="新宋体" w:hAnsi="新宋体" w:eastAsia="新宋体"/>
          <w:sz w:val="24"/>
        </w:rPr>
        <w:t>和责任，同时按照内部划分的职责，各自承担自身的责任和风险</w:t>
      </w:r>
      <w:r>
        <w:rPr>
          <w:rFonts w:hint="eastAsia" w:ascii="新宋体" w:hAnsi="新宋体" w:eastAsia="新宋体"/>
          <w:sz w:val="24"/>
        </w:rPr>
        <w:t>；</w:t>
      </w:r>
    </w:p>
    <w:p>
      <w:pPr>
        <w:spacing w:line="360" w:lineRule="auto"/>
        <w:ind w:firstLine="480" w:firstLineChars="200"/>
        <w:rPr>
          <w:rFonts w:ascii="新宋体" w:hAnsi="新宋体" w:eastAsia="新宋体"/>
          <w:sz w:val="24"/>
        </w:rPr>
      </w:pPr>
      <w:r>
        <w:rPr>
          <w:rFonts w:ascii="新宋体" w:hAnsi="新宋体" w:eastAsia="新宋体"/>
          <w:sz w:val="24"/>
        </w:rPr>
        <w:t>2.4</w:t>
      </w:r>
      <w:r>
        <w:rPr>
          <w:rFonts w:hint="eastAsia" w:ascii="新宋体" w:hAnsi="新宋体" w:eastAsia="新宋体"/>
          <w:sz w:val="24"/>
        </w:rPr>
        <w:t>联合体内部各自按下列分工负责本项目</w:t>
      </w:r>
      <w:r>
        <w:rPr>
          <w:rFonts w:ascii="新宋体" w:hAnsi="新宋体" w:eastAsia="新宋体"/>
          <w:sz w:val="24"/>
        </w:rPr>
        <w:t>工作：</w:t>
      </w:r>
    </w:p>
    <w:p>
      <w:pPr>
        <w:spacing w:line="360" w:lineRule="auto"/>
        <w:ind w:firstLine="480" w:firstLineChars="200"/>
        <w:rPr>
          <w:rFonts w:ascii="新宋体" w:hAnsi="新宋体" w:eastAsia="新宋体"/>
          <w:sz w:val="24"/>
        </w:rPr>
      </w:pPr>
      <w:r>
        <w:rPr>
          <w:rFonts w:hint="eastAsia" w:ascii="新宋体" w:hAnsi="新宋体" w:eastAsia="新宋体"/>
          <w:sz w:val="24"/>
        </w:rPr>
        <w:t>牵头人（_</w:t>
      </w:r>
      <w:r>
        <w:rPr>
          <w:rFonts w:ascii="新宋体" w:hAnsi="新宋体" w:eastAsia="新宋体"/>
          <w:sz w:val="24"/>
        </w:rPr>
        <w:t>___________________</w:t>
      </w:r>
      <w:r>
        <w:rPr>
          <w:rFonts w:hint="eastAsia" w:ascii="新宋体" w:hAnsi="新宋体" w:eastAsia="新宋体"/>
          <w:sz w:val="24"/>
        </w:rPr>
        <w:t>）</w:t>
      </w:r>
      <w:r>
        <w:rPr>
          <w:rFonts w:ascii="新宋体" w:hAnsi="新宋体" w:eastAsia="新宋体"/>
          <w:sz w:val="24"/>
        </w:rPr>
        <w:t>承担本项目的</w:t>
      </w:r>
      <w:r>
        <w:rPr>
          <w:rFonts w:hint="eastAsia" w:ascii="新宋体" w:hAnsi="新宋体" w:eastAsia="新宋体"/>
          <w:sz w:val="24"/>
        </w:rPr>
        <w:t>_</w:t>
      </w:r>
      <w:r>
        <w:rPr>
          <w:rFonts w:ascii="新宋体" w:hAnsi="新宋体" w:eastAsia="新宋体"/>
          <w:sz w:val="24"/>
        </w:rPr>
        <w:t>___________________</w:t>
      </w:r>
      <w:r>
        <w:rPr>
          <w:rFonts w:hint="eastAsia" w:ascii="新宋体" w:hAnsi="新宋体" w:eastAsia="新宋体"/>
          <w:sz w:val="24"/>
        </w:rPr>
        <w:t>工作,联合体成员</w:t>
      </w:r>
      <w:r>
        <w:rPr>
          <w:rFonts w:ascii="新宋体" w:hAnsi="新宋体" w:eastAsia="新宋体"/>
          <w:sz w:val="24"/>
        </w:rPr>
        <w:t>（</w:t>
      </w:r>
      <w:r>
        <w:rPr>
          <w:rFonts w:hint="eastAsia" w:ascii="新宋体" w:hAnsi="新宋体" w:eastAsia="新宋体"/>
          <w:sz w:val="24"/>
        </w:rPr>
        <w:t>____________________</w:t>
      </w:r>
      <w:r>
        <w:rPr>
          <w:rFonts w:ascii="新宋体" w:hAnsi="新宋体" w:eastAsia="新宋体"/>
          <w:sz w:val="24"/>
        </w:rPr>
        <w:t>）</w:t>
      </w:r>
      <w:r>
        <w:rPr>
          <w:rFonts w:hint="eastAsia" w:ascii="新宋体" w:hAnsi="新宋体" w:eastAsia="新宋体"/>
          <w:sz w:val="24"/>
        </w:rPr>
        <w:t>承担</w:t>
      </w:r>
      <w:r>
        <w:rPr>
          <w:rFonts w:ascii="新宋体" w:hAnsi="新宋体" w:eastAsia="新宋体"/>
          <w:sz w:val="24"/>
        </w:rPr>
        <w:t>本项目的</w:t>
      </w:r>
      <w:r>
        <w:rPr>
          <w:rFonts w:hint="eastAsia" w:ascii="新宋体" w:hAnsi="新宋体" w:eastAsia="新宋体"/>
          <w:sz w:val="24"/>
        </w:rPr>
        <w:t>__________________工作</w:t>
      </w:r>
      <w:r>
        <w:rPr>
          <w:rFonts w:ascii="新宋体" w:hAnsi="新宋体" w:eastAsia="新宋体"/>
          <w:sz w:val="24"/>
        </w:rPr>
        <w:t>；</w:t>
      </w:r>
    </w:p>
    <w:p>
      <w:pPr>
        <w:spacing w:line="360" w:lineRule="auto"/>
        <w:ind w:firstLine="480" w:firstLineChars="200"/>
        <w:rPr>
          <w:rFonts w:ascii="新宋体" w:hAnsi="新宋体" w:eastAsia="新宋体"/>
          <w:sz w:val="24"/>
        </w:rPr>
      </w:pPr>
      <w:r>
        <w:rPr>
          <w:rFonts w:ascii="新宋体" w:hAnsi="新宋体" w:eastAsia="新宋体"/>
          <w:sz w:val="24"/>
        </w:rPr>
        <w:t>2.5</w:t>
      </w:r>
      <w:r>
        <w:rPr>
          <w:rFonts w:hint="eastAsia" w:ascii="新宋体" w:hAnsi="新宋体" w:eastAsia="新宋体"/>
          <w:sz w:val="24"/>
        </w:rPr>
        <w:t>联合体</w:t>
      </w:r>
      <w:r>
        <w:rPr>
          <w:rFonts w:ascii="新宋体" w:hAnsi="新宋体" w:eastAsia="新宋体"/>
          <w:sz w:val="24"/>
        </w:rPr>
        <w:t>在合同实施过程中的有关费用按各自承担的工作量分摊。联合体全体成员一致保证</w:t>
      </w:r>
      <w:r>
        <w:rPr>
          <w:rFonts w:hint="eastAsia" w:ascii="新宋体" w:hAnsi="新宋体" w:eastAsia="新宋体"/>
          <w:sz w:val="24"/>
        </w:rPr>
        <w:t>，</w:t>
      </w:r>
      <w:r>
        <w:rPr>
          <w:rFonts w:ascii="新宋体" w:hAnsi="新宋体" w:eastAsia="新宋体"/>
          <w:sz w:val="24"/>
        </w:rPr>
        <w:t>未全面、按时、正确履行与采购方的相关合同，联合体全体成员</w:t>
      </w:r>
      <w:r>
        <w:rPr>
          <w:rFonts w:hint="eastAsia" w:ascii="新宋体" w:hAnsi="新宋体" w:eastAsia="新宋体"/>
          <w:sz w:val="24"/>
        </w:rPr>
        <w:t>共同</w:t>
      </w:r>
      <w:r>
        <w:rPr>
          <w:rFonts w:ascii="新宋体" w:hAnsi="新宋体" w:eastAsia="新宋体"/>
          <w:sz w:val="24"/>
        </w:rPr>
        <w:t>对采购人承担连带责任。</w:t>
      </w:r>
    </w:p>
    <w:p>
      <w:pPr>
        <w:spacing w:line="360" w:lineRule="auto"/>
        <w:ind w:firstLine="480" w:firstLineChars="200"/>
        <w:rPr>
          <w:rFonts w:ascii="新宋体" w:hAnsi="新宋体" w:eastAsia="新宋体"/>
          <w:sz w:val="24"/>
        </w:rPr>
      </w:pPr>
      <w:r>
        <w:rPr>
          <w:rFonts w:ascii="新宋体" w:hAnsi="新宋体" w:eastAsia="新宋体"/>
          <w:sz w:val="24"/>
        </w:rPr>
        <w:t>2.6</w:t>
      </w:r>
      <w:r>
        <w:rPr>
          <w:rFonts w:hint="eastAsia" w:ascii="新宋体" w:hAnsi="新宋体" w:eastAsia="新宋体"/>
          <w:sz w:val="24"/>
        </w:rPr>
        <w:t>联合体牵头人</w:t>
      </w:r>
      <w:r>
        <w:rPr>
          <w:rFonts w:ascii="新宋体" w:hAnsi="新宋体" w:eastAsia="新宋体"/>
          <w:sz w:val="24"/>
        </w:rPr>
        <w:t>关于本项目</w:t>
      </w:r>
      <w:r>
        <w:rPr>
          <w:rFonts w:hint="eastAsia" w:ascii="新宋体" w:hAnsi="新宋体" w:eastAsia="新宋体"/>
          <w:sz w:val="24"/>
        </w:rPr>
        <w:t>签署</w:t>
      </w:r>
      <w:r>
        <w:rPr>
          <w:rFonts w:ascii="新宋体" w:hAnsi="新宋体" w:eastAsia="新宋体"/>
          <w:sz w:val="24"/>
        </w:rPr>
        <w:t>的材料、承诺、与采购人达成的意向等，其他</w:t>
      </w:r>
      <w:r>
        <w:rPr>
          <w:rFonts w:hint="eastAsia" w:ascii="新宋体" w:hAnsi="新宋体" w:eastAsia="新宋体"/>
          <w:sz w:val="24"/>
        </w:rPr>
        <w:t>联合体</w:t>
      </w:r>
      <w:r>
        <w:rPr>
          <w:rFonts w:ascii="新宋体" w:hAnsi="新宋体" w:eastAsia="新宋体"/>
          <w:sz w:val="24"/>
        </w:rPr>
        <w:t>成员均予以认可。</w:t>
      </w:r>
    </w:p>
    <w:p>
      <w:pPr>
        <w:spacing w:line="360" w:lineRule="auto"/>
        <w:ind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联合体</w:t>
      </w:r>
      <w:r>
        <w:rPr>
          <w:rFonts w:ascii="新宋体" w:hAnsi="新宋体" w:eastAsia="新宋体"/>
          <w:sz w:val="24"/>
        </w:rPr>
        <w:t>牵头人应将本协议书送交采购人。</w:t>
      </w:r>
    </w:p>
    <w:p>
      <w:pPr>
        <w:spacing w:line="360" w:lineRule="auto"/>
        <w:ind w:firstLine="480" w:firstLineChars="200"/>
        <w:rPr>
          <w:rFonts w:ascii="新宋体" w:hAnsi="新宋体" w:eastAsia="新宋体"/>
          <w:sz w:val="24"/>
        </w:rPr>
      </w:pPr>
      <w:r>
        <w:rPr>
          <w:rFonts w:ascii="新宋体" w:hAnsi="新宋体" w:eastAsia="新宋体"/>
          <w:sz w:val="24"/>
        </w:rPr>
        <w:t>4</w:t>
      </w:r>
      <w:r>
        <w:rPr>
          <w:rFonts w:hint="eastAsia" w:ascii="新宋体" w:hAnsi="新宋体" w:eastAsia="新宋体"/>
          <w:sz w:val="24"/>
        </w:rPr>
        <w:t>.本协议书</w:t>
      </w:r>
      <w:r>
        <w:rPr>
          <w:rFonts w:ascii="新宋体" w:hAnsi="新宋体" w:eastAsia="新宋体"/>
          <w:sz w:val="24"/>
        </w:rPr>
        <w:t>正</w:t>
      </w:r>
      <w:r>
        <w:rPr>
          <w:rFonts w:hint="eastAsia" w:ascii="新宋体" w:hAnsi="新宋体" w:eastAsia="新宋体"/>
          <w:sz w:val="24"/>
        </w:rPr>
        <w:t>本</w:t>
      </w:r>
      <w:r>
        <w:rPr>
          <w:rFonts w:ascii="新宋体" w:hAnsi="新宋体" w:eastAsia="新宋体"/>
          <w:sz w:val="24"/>
        </w:rPr>
        <w:t>一式</w:t>
      </w:r>
      <w:r>
        <w:rPr>
          <w:rFonts w:hint="eastAsia" w:ascii="新宋体" w:hAnsi="新宋体" w:eastAsia="新宋体"/>
          <w:sz w:val="24"/>
        </w:rPr>
        <w:t>_____份</w:t>
      </w:r>
      <w:r>
        <w:rPr>
          <w:rFonts w:ascii="新宋体" w:hAnsi="新宋体" w:eastAsia="新宋体"/>
          <w:sz w:val="24"/>
        </w:rPr>
        <w:t>，联合体成员各执一份，送交采购人一份；副本一</w:t>
      </w:r>
      <w:r>
        <w:rPr>
          <w:rFonts w:hint="eastAsia" w:ascii="新宋体" w:hAnsi="新宋体" w:eastAsia="新宋体"/>
          <w:sz w:val="24"/>
        </w:rPr>
        <w:t>式____份</w:t>
      </w:r>
      <w:r>
        <w:rPr>
          <w:rFonts w:ascii="新宋体" w:hAnsi="新宋体" w:eastAsia="新宋体"/>
          <w:sz w:val="24"/>
        </w:rPr>
        <w:t>，联合体成员各执</w:t>
      </w:r>
      <w:r>
        <w:rPr>
          <w:rFonts w:hint="eastAsia" w:ascii="新宋体" w:hAnsi="新宋体" w:eastAsia="新宋体"/>
          <w:sz w:val="24"/>
        </w:rPr>
        <w:t>____份</w:t>
      </w:r>
      <w:r>
        <w:rPr>
          <w:rFonts w:ascii="新宋体" w:hAnsi="新宋体" w:eastAsia="新宋体"/>
          <w:sz w:val="24"/>
        </w:rPr>
        <w:t>。</w:t>
      </w:r>
    </w:p>
    <w:p>
      <w:pPr>
        <w:spacing w:line="360" w:lineRule="auto"/>
        <w:ind w:firstLine="480" w:firstLineChars="200"/>
        <w:rPr>
          <w:rFonts w:ascii="新宋体" w:hAnsi="新宋体" w:eastAsia="新宋体"/>
          <w:sz w:val="24"/>
        </w:rPr>
      </w:pPr>
      <w:r>
        <w:rPr>
          <w:rFonts w:hint="eastAsia" w:ascii="新宋体" w:hAnsi="新宋体" w:eastAsia="新宋体"/>
          <w:sz w:val="24"/>
        </w:rPr>
        <w:t>甲公司</w:t>
      </w:r>
      <w:r>
        <w:rPr>
          <w:rFonts w:ascii="新宋体" w:hAnsi="新宋体" w:eastAsia="新宋体"/>
          <w:sz w:val="24"/>
        </w:rPr>
        <w:t>名称：</w:t>
      </w:r>
      <w:r>
        <w:rPr>
          <w:rFonts w:hint="eastAsia" w:ascii="新宋体" w:hAnsi="新宋体" w:eastAsia="新宋体"/>
          <w:sz w:val="24"/>
          <w:u w:val="single"/>
          <w:lang w:val="en-US" w:eastAsia="zh-CN"/>
        </w:rPr>
        <w:t xml:space="preserve">   </w:t>
      </w:r>
      <w:r>
        <w:rPr>
          <w:rFonts w:hint="eastAsia" w:ascii="新宋体" w:hAnsi="新宋体" w:eastAsia="新宋体"/>
          <w:sz w:val="24"/>
          <w:u w:val="single"/>
        </w:rPr>
        <w:t>(章)</w:t>
      </w:r>
      <w:r>
        <w:rPr>
          <w:rFonts w:ascii="新宋体" w:hAnsi="新宋体" w:eastAsia="新宋体"/>
          <w:sz w:val="24"/>
          <w:u w:val="single"/>
        </w:rPr>
        <w:t xml:space="preserve">   </w:t>
      </w:r>
      <w:r>
        <w:rPr>
          <w:rFonts w:ascii="新宋体" w:hAnsi="新宋体" w:eastAsia="新宋体"/>
          <w:sz w:val="24"/>
        </w:rPr>
        <w:t xml:space="preserve">              </w:t>
      </w:r>
      <w:r>
        <w:rPr>
          <w:rFonts w:hint="eastAsia" w:ascii="新宋体" w:hAnsi="新宋体" w:eastAsia="新宋体"/>
          <w:sz w:val="24"/>
        </w:rPr>
        <w:t>乙公司</w:t>
      </w:r>
      <w:r>
        <w:rPr>
          <w:rFonts w:ascii="新宋体" w:hAnsi="新宋体" w:eastAsia="新宋体"/>
          <w:sz w:val="24"/>
        </w:rPr>
        <w:t>名称：</w:t>
      </w:r>
      <w:r>
        <w:rPr>
          <w:rFonts w:hint="eastAsia" w:ascii="新宋体" w:hAnsi="新宋体" w:eastAsia="新宋体"/>
          <w:sz w:val="24"/>
          <w:lang w:val="en-US" w:eastAsia="zh-CN"/>
        </w:rPr>
        <w:t xml:space="preserve"> </w:t>
      </w:r>
      <w:r>
        <w:rPr>
          <w:rFonts w:hint="eastAsia" w:ascii="新宋体" w:hAnsi="新宋体" w:eastAsia="新宋体"/>
          <w:sz w:val="24"/>
          <w:u w:val="single"/>
          <w:lang w:val="en-US" w:eastAsia="zh-CN"/>
        </w:rPr>
        <w:t xml:space="preserve">  </w:t>
      </w:r>
      <w:r>
        <w:rPr>
          <w:rFonts w:ascii="新宋体" w:hAnsi="新宋体" w:eastAsia="新宋体"/>
          <w:sz w:val="24"/>
          <w:u w:val="single"/>
        </w:rPr>
        <w:t>(</w:t>
      </w:r>
      <w:r>
        <w:rPr>
          <w:rFonts w:hint="eastAsia" w:ascii="新宋体" w:hAnsi="新宋体" w:eastAsia="新宋体"/>
          <w:sz w:val="24"/>
          <w:u w:val="single"/>
        </w:rPr>
        <w:t>章)</w:t>
      </w:r>
      <w:r>
        <w:rPr>
          <w:rFonts w:hint="eastAsia" w:ascii="新宋体" w:hAnsi="新宋体" w:eastAsia="新宋体"/>
          <w:sz w:val="24"/>
          <w:u w:val="single"/>
          <w:lang w:val="en-US" w:eastAsia="zh-CN"/>
        </w:rPr>
        <w:t xml:space="preserve">  </w:t>
      </w:r>
    </w:p>
    <w:p>
      <w:pPr>
        <w:spacing w:line="360" w:lineRule="auto"/>
        <w:ind w:firstLine="480" w:firstLineChars="200"/>
        <w:rPr>
          <w:rFonts w:ascii="新宋体" w:hAnsi="新宋体" w:eastAsia="新宋体"/>
          <w:sz w:val="24"/>
        </w:rPr>
      </w:pPr>
      <w:r>
        <w:rPr>
          <w:rFonts w:hint="eastAsia" w:ascii="新宋体" w:hAnsi="新宋体" w:eastAsia="新宋体"/>
          <w:sz w:val="24"/>
        </w:rPr>
        <w:t>法定</w:t>
      </w:r>
      <w:r>
        <w:rPr>
          <w:rFonts w:ascii="新宋体" w:hAnsi="新宋体" w:eastAsia="新宋体"/>
          <w:sz w:val="24"/>
        </w:rPr>
        <w:t>代表人：</w:t>
      </w:r>
      <w:r>
        <w:rPr>
          <w:rFonts w:hint="eastAsia" w:ascii="新宋体" w:hAnsi="新宋体" w:eastAsia="新宋体"/>
          <w:sz w:val="24"/>
        </w:rPr>
        <w:t xml:space="preserve">                              法定代表人</w:t>
      </w:r>
      <w:r>
        <w:rPr>
          <w:rFonts w:ascii="新宋体" w:hAnsi="新宋体" w:eastAsia="新宋体"/>
          <w:sz w:val="24"/>
        </w:rPr>
        <w:t>：</w:t>
      </w:r>
    </w:p>
    <w:p>
      <w:pPr>
        <w:spacing w:line="360" w:lineRule="auto"/>
        <w:ind w:firstLine="480" w:firstLineChars="200"/>
        <w:rPr>
          <w:sz w:val="24"/>
        </w:rPr>
      </w:pPr>
      <w:r>
        <w:rPr>
          <w:rFonts w:hint="eastAsia"/>
          <w:sz w:val="24"/>
        </w:rPr>
        <w:t>委托代理人</w:t>
      </w:r>
      <w:r>
        <w:rPr>
          <w:sz w:val="24"/>
        </w:rPr>
        <w:t>：</w:t>
      </w:r>
      <w:r>
        <w:rPr>
          <w:rFonts w:hint="eastAsia"/>
          <w:sz w:val="24"/>
        </w:rPr>
        <w:t xml:space="preserve">                              委托代理人</w:t>
      </w:r>
      <w:r>
        <w:rPr>
          <w:sz w:val="24"/>
        </w:rPr>
        <w:t>：</w:t>
      </w:r>
    </w:p>
    <w:p>
      <w:pPr>
        <w:spacing w:line="360" w:lineRule="auto"/>
        <w:rPr>
          <w:rFonts w:hint="eastAsia" w:ascii="新宋体" w:hAnsi="新宋体" w:eastAsia="新宋体"/>
          <w:sz w:val="24"/>
        </w:rPr>
      </w:pPr>
      <w:r>
        <w:rPr>
          <w:rFonts w:hint="eastAsia" w:ascii="新宋体" w:hAnsi="新宋体" w:eastAsia="新宋体"/>
          <w:sz w:val="24"/>
        </w:rPr>
        <w:t>联系电话：                                联系电话：</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日    期：                                日    期：</w:t>
      </w:r>
    </w:p>
    <w:p>
      <w:pPr>
        <w:pageBreakBefore w:val="0"/>
        <w:kinsoku/>
        <w:bidi w:val="0"/>
        <w:spacing w:line="360" w:lineRule="auto"/>
        <w:ind w:firstLine="480"/>
        <w:textAlignment w:val="auto"/>
      </w:pPr>
    </w:p>
    <w:p>
      <w:pPr>
        <w:pageBreakBefore w:val="0"/>
        <w:kinsoku/>
        <w:bidi w:val="0"/>
        <w:spacing w:line="360" w:lineRule="auto"/>
        <w:ind w:firstLine="480"/>
        <w:jc w:val="center"/>
        <w:textAlignment w:val="auto"/>
        <w:rPr>
          <w:rFonts w:hint="eastAsia" w:ascii="Arial" w:hAnsi="Arial" w:eastAsia="宋体" w:cstheme="majorBidi"/>
          <w:b/>
          <w:bCs/>
          <w:kern w:val="2"/>
          <w:sz w:val="24"/>
          <w:szCs w:val="32"/>
          <w:lang w:val="en-US" w:eastAsia="zh-CN" w:bidi="ar-SA"/>
        </w:rPr>
      </w:pPr>
      <w:bookmarkStart w:id="125" w:name="_Toc437271304"/>
      <w:r>
        <w:rPr>
          <w:rFonts w:hint="eastAsia" w:cstheme="majorBidi"/>
          <w:b/>
          <w:bCs/>
          <w:kern w:val="2"/>
          <w:sz w:val="24"/>
          <w:szCs w:val="32"/>
          <w:lang w:val="en-US" w:eastAsia="zh-CN" w:bidi="ar-SA"/>
        </w:rPr>
        <w:t>五</w:t>
      </w:r>
      <w:r>
        <w:rPr>
          <w:rFonts w:hint="eastAsia" w:ascii="Arial" w:hAnsi="Arial" w:eastAsia="宋体" w:cstheme="majorBidi"/>
          <w:b/>
          <w:bCs/>
          <w:kern w:val="2"/>
          <w:sz w:val="24"/>
          <w:szCs w:val="32"/>
          <w:lang w:val="en-US" w:eastAsia="zh-CN" w:bidi="ar-SA"/>
        </w:rPr>
        <w:t>、承诺函</w:t>
      </w:r>
      <w:bookmarkEnd w:id="125"/>
      <w:r>
        <w:rPr>
          <w:rFonts w:hint="eastAsia" w:cstheme="majorBidi"/>
          <w:b/>
          <w:bCs/>
          <w:kern w:val="2"/>
          <w:sz w:val="24"/>
          <w:szCs w:val="32"/>
          <w:lang w:val="en-US" w:eastAsia="zh-CN" w:bidi="ar-SA"/>
        </w:rPr>
        <w:t>（适用于联合体）</w:t>
      </w:r>
    </w:p>
    <w:p>
      <w:pPr>
        <w:pageBreakBefore w:val="0"/>
        <w:kinsoku/>
        <w:bidi w:val="0"/>
        <w:spacing w:line="360" w:lineRule="auto"/>
        <w:ind w:firstLine="480"/>
        <w:textAlignment w:val="auto"/>
      </w:pPr>
      <w:r>
        <w:rPr>
          <w:rFonts w:hint="eastAsia"/>
          <w:lang w:eastAsia="zh-CN"/>
        </w:rPr>
        <w:t>登封市交通运输局</w:t>
      </w:r>
      <w:r>
        <w:rPr>
          <w:rFonts w:hint="eastAsia"/>
        </w:rPr>
        <w:t>：</w:t>
      </w:r>
    </w:p>
    <w:p>
      <w:pPr>
        <w:pageBreakBefore w:val="0"/>
        <w:kinsoku/>
        <w:bidi w:val="0"/>
        <w:spacing w:line="360" w:lineRule="auto"/>
        <w:ind w:firstLine="480"/>
        <w:textAlignment w:val="auto"/>
      </w:pPr>
    </w:p>
    <w:p>
      <w:pPr>
        <w:pageBreakBefore w:val="0"/>
        <w:kinsoku/>
        <w:bidi w:val="0"/>
        <w:spacing w:line="360" w:lineRule="auto"/>
        <w:ind w:firstLine="480"/>
        <w:textAlignment w:val="auto"/>
      </w:pPr>
      <w:r>
        <w:rPr>
          <w:rFonts w:hint="eastAsia"/>
        </w:rPr>
        <w:t>本公司已和</w:t>
      </w:r>
      <w:r>
        <w:rPr>
          <w:rFonts w:hint="eastAsia"/>
          <w:u w:val="single"/>
        </w:rPr>
        <w:t>　　　　　　　　　　　　　　</w:t>
      </w:r>
      <w:r>
        <w:rPr>
          <w:rFonts w:hint="eastAsia"/>
        </w:rPr>
        <w:t>（以下简称为“其他联合体成员”）签订《联合体协议》，约定组成联合体共同对</w:t>
      </w:r>
      <w:r>
        <w:rPr>
          <w:rFonts w:hint="eastAsia"/>
          <w:lang w:eastAsia="zh-CN"/>
        </w:rPr>
        <w:t>登封市环嵩山旅游公路改建工程PPP项目</w:t>
      </w:r>
      <w:r>
        <w:rPr>
          <w:rFonts w:hint="eastAsia"/>
        </w:rPr>
        <w:t>进行投标。本公司作为联合体牵头人，现向贵</w:t>
      </w:r>
      <w:r>
        <w:rPr>
          <w:rFonts w:hint="eastAsia"/>
          <w:lang w:val="en-US" w:eastAsia="zh-CN"/>
        </w:rPr>
        <w:t>单位</w:t>
      </w:r>
      <w:r>
        <w:rPr>
          <w:rFonts w:hint="eastAsia"/>
        </w:rPr>
        <w:t>承诺如下：</w:t>
      </w:r>
    </w:p>
    <w:p>
      <w:pPr>
        <w:pageBreakBefore w:val="0"/>
        <w:kinsoku/>
        <w:bidi w:val="0"/>
        <w:spacing w:line="360" w:lineRule="auto"/>
        <w:ind w:firstLine="480"/>
        <w:textAlignment w:val="auto"/>
      </w:pPr>
      <w:r>
        <w:rPr>
          <w:rFonts w:hint="eastAsia"/>
        </w:rPr>
        <w:t>１、本公司已获得联合体全体成员的授权，负责代表联合体参与</w:t>
      </w:r>
      <w:r>
        <w:rPr>
          <w:rFonts w:hint="eastAsia"/>
          <w:lang w:eastAsia="zh-CN"/>
        </w:rPr>
        <w:t>登封市环嵩山旅游公路改建工程PPP项目</w:t>
      </w:r>
      <w:r>
        <w:rPr>
          <w:rFonts w:hint="eastAsia"/>
        </w:rPr>
        <w:t>的投标活动，以及负责中标后代表联合体对正式合同、相关补充协议以及本项目所涉及全部其他文件的签订和履行。对此其他联合体成员均已承诺承担连带法律责任。</w:t>
      </w:r>
    </w:p>
    <w:p>
      <w:pPr>
        <w:pageBreakBefore w:val="0"/>
        <w:kinsoku/>
        <w:bidi w:val="0"/>
        <w:spacing w:line="360" w:lineRule="auto"/>
        <w:ind w:firstLine="480"/>
        <w:textAlignment w:val="auto"/>
      </w:pPr>
      <w:r>
        <w:rPr>
          <w:rFonts w:hint="eastAsia"/>
        </w:rPr>
        <w:t>２、对于其他联合体成员在</w:t>
      </w:r>
      <w:r>
        <w:rPr>
          <w:rFonts w:hint="eastAsia"/>
          <w:lang w:eastAsia="zh-CN"/>
        </w:rPr>
        <w:t>登封市环嵩山旅游公路改建工程PPP项目</w:t>
      </w:r>
      <w:r>
        <w:rPr>
          <w:rFonts w:hint="eastAsia"/>
        </w:rPr>
        <w:t>的投标、签约、履约活动中应承担的法律责任，本公司作为联合体的牵头人承诺均承担连带法律责任。</w:t>
      </w:r>
    </w:p>
    <w:p>
      <w:pPr>
        <w:pageBreakBefore w:val="0"/>
        <w:kinsoku/>
        <w:bidi w:val="0"/>
        <w:spacing w:line="360" w:lineRule="auto"/>
        <w:ind w:firstLine="480"/>
        <w:textAlignment w:val="auto"/>
      </w:pPr>
      <w:r>
        <w:rPr>
          <w:rFonts w:hint="eastAsia"/>
        </w:rPr>
        <w:t>本承诺函自出具之日起生效。联合体未通过资格预审、未中标则本承诺函自动失效。联合体中标后，本承诺函于中标通知书做出之日起自动成为采购人与联合体之间拟签订或已签订的正式合同的附件。</w:t>
      </w:r>
    </w:p>
    <w:p>
      <w:pPr>
        <w:pageBreakBefore w:val="0"/>
        <w:kinsoku/>
        <w:bidi w:val="0"/>
        <w:spacing w:line="360" w:lineRule="auto"/>
        <w:ind w:firstLine="480"/>
        <w:textAlignment w:val="auto"/>
      </w:pPr>
    </w:p>
    <w:p>
      <w:pPr>
        <w:pageBreakBefore w:val="0"/>
        <w:kinsoku/>
        <w:bidi w:val="0"/>
        <w:spacing w:line="360" w:lineRule="auto"/>
        <w:ind w:firstLine="480"/>
        <w:textAlignment w:val="auto"/>
      </w:pPr>
      <w:r>
        <w:rPr>
          <w:rFonts w:hint="eastAsia"/>
        </w:rPr>
        <w:t xml:space="preserve">                              牵头人（盖章）：</w:t>
      </w:r>
      <w:r>
        <w:rPr>
          <w:u w:val="single"/>
        </w:rPr>
        <w:t xml:space="preserve">                      </w:t>
      </w:r>
    </w:p>
    <w:p>
      <w:pPr>
        <w:pageBreakBefore w:val="0"/>
        <w:kinsoku/>
        <w:bidi w:val="0"/>
        <w:spacing w:line="360" w:lineRule="auto"/>
        <w:ind w:right="960" w:firstLine="4080" w:firstLineChars="1700"/>
        <w:textAlignment w:val="auto"/>
      </w:pPr>
      <w:r>
        <w:rPr>
          <w:rFonts w:hint="eastAsia"/>
        </w:rPr>
        <w:t>法定代表人（签字）：</w:t>
      </w:r>
      <w:r>
        <w:rPr>
          <w:rFonts w:hint="eastAsia"/>
          <w:u w:val="single"/>
        </w:rPr>
        <w:t xml:space="preserve">         </w:t>
      </w:r>
      <w:r>
        <w:rPr>
          <w:u w:val="single"/>
        </w:rPr>
        <w:t xml:space="preserve">            </w:t>
      </w:r>
    </w:p>
    <w:p>
      <w:pPr>
        <w:pageBreakBefore w:val="0"/>
        <w:kinsoku/>
        <w:bidi w:val="0"/>
        <w:spacing w:line="360" w:lineRule="auto"/>
        <w:ind w:firstLine="480"/>
        <w:jc w:val="right"/>
        <w:textAlignment w:val="auto"/>
      </w:pPr>
      <w:r>
        <w:rPr>
          <w:rFonts w:hint="eastAsia"/>
        </w:rPr>
        <w:t xml:space="preserve">                                   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r>
        <w:br w:type="page"/>
      </w:r>
    </w:p>
    <w:p>
      <w:pPr>
        <w:pStyle w:val="58"/>
        <w:pageBreakBefore w:val="0"/>
        <w:numPr>
          <w:ilvl w:val="0"/>
          <w:numId w:val="0"/>
        </w:numPr>
        <w:kinsoku/>
        <w:bidi w:val="0"/>
        <w:spacing w:line="360" w:lineRule="auto"/>
        <w:ind w:left="576"/>
        <w:jc w:val="center"/>
        <w:textAlignment w:val="auto"/>
        <w:rPr>
          <w:rFonts w:hint="eastAsia"/>
        </w:rPr>
      </w:pPr>
      <w:bookmarkStart w:id="126" w:name="_Toc437271305"/>
    </w:p>
    <w:p>
      <w:pPr>
        <w:pStyle w:val="58"/>
        <w:pageBreakBefore w:val="0"/>
        <w:numPr>
          <w:ilvl w:val="0"/>
          <w:numId w:val="0"/>
        </w:numPr>
        <w:kinsoku/>
        <w:bidi w:val="0"/>
        <w:spacing w:line="360" w:lineRule="auto"/>
        <w:ind w:left="576"/>
        <w:jc w:val="center"/>
        <w:textAlignment w:val="auto"/>
        <w:rPr>
          <w:rFonts w:hint="eastAsia"/>
        </w:rPr>
      </w:pPr>
    </w:p>
    <w:p>
      <w:pPr>
        <w:pStyle w:val="58"/>
        <w:pageBreakBefore w:val="0"/>
        <w:numPr>
          <w:ilvl w:val="0"/>
          <w:numId w:val="0"/>
        </w:numPr>
        <w:kinsoku/>
        <w:bidi w:val="0"/>
        <w:spacing w:line="360" w:lineRule="auto"/>
        <w:ind w:left="576"/>
        <w:jc w:val="center"/>
        <w:textAlignment w:val="auto"/>
        <w:rPr>
          <w:rFonts w:hint="eastAsia"/>
        </w:rPr>
      </w:pPr>
    </w:p>
    <w:p>
      <w:pPr>
        <w:pStyle w:val="58"/>
        <w:pageBreakBefore w:val="0"/>
        <w:numPr>
          <w:ilvl w:val="0"/>
          <w:numId w:val="0"/>
        </w:numPr>
        <w:kinsoku/>
        <w:bidi w:val="0"/>
        <w:spacing w:line="360" w:lineRule="auto"/>
        <w:ind w:left="576"/>
        <w:jc w:val="center"/>
        <w:textAlignment w:val="auto"/>
        <w:rPr>
          <w:rFonts w:hint="eastAsia"/>
        </w:rPr>
      </w:pPr>
    </w:p>
    <w:p>
      <w:pPr>
        <w:pStyle w:val="58"/>
        <w:pageBreakBefore w:val="0"/>
        <w:numPr>
          <w:ilvl w:val="0"/>
          <w:numId w:val="0"/>
        </w:numPr>
        <w:kinsoku/>
        <w:bidi w:val="0"/>
        <w:spacing w:line="360" w:lineRule="auto"/>
        <w:ind w:left="576"/>
        <w:jc w:val="center"/>
        <w:textAlignment w:val="auto"/>
      </w:pPr>
      <w:r>
        <w:rPr>
          <w:rFonts w:hint="eastAsia"/>
          <w:lang w:val="en-US" w:eastAsia="zh-CN"/>
        </w:rPr>
        <w:t>六</w:t>
      </w:r>
      <w:r>
        <w:rPr>
          <w:rFonts w:hint="eastAsia"/>
        </w:rPr>
        <w:t>、投标保证金</w:t>
      </w:r>
      <w:bookmarkEnd w:id="126"/>
    </w:p>
    <w:p>
      <w:pPr>
        <w:pageBreakBefore w:val="0"/>
        <w:kinsoku/>
        <w:bidi w:val="0"/>
        <w:spacing w:line="360" w:lineRule="auto"/>
        <w:ind w:firstLine="480"/>
        <w:textAlignment w:val="auto"/>
      </w:pPr>
      <w:r>
        <w:rPr>
          <w:rFonts w:hint="eastAsia"/>
        </w:rPr>
        <w:tab/>
      </w:r>
      <w:r>
        <w:rPr>
          <w:rFonts w:hint="eastAsia"/>
        </w:rPr>
        <w:tab/>
      </w:r>
      <w:r>
        <w:rPr>
          <w:rFonts w:hint="eastAsia"/>
        </w:rPr>
        <w:tab/>
      </w:r>
      <w:r>
        <w:rPr>
          <w:rFonts w:hint="eastAsia"/>
        </w:rPr>
        <w:tab/>
      </w:r>
      <w:r>
        <w:rPr>
          <w:rFonts w:hint="eastAsia"/>
        </w:rPr>
        <w:tab/>
      </w:r>
    </w:p>
    <w:p>
      <w:pPr>
        <w:pageBreakBefore w:val="0"/>
        <w:kinsoku/>
        <w:bidi w:val="0"/>
        <w:spacing w:line="360" w:lineRule="auto"/>
        <w:ind w:firstLine="480"/>
        <w:textAlignment w:val="auto"/>
      </w:pPr>
    </w:p>
    <w:p>
      <w:pPr>
        <w:pStyle w:val="2"/>
        <w:pageBreakBefore w:val="0"/>
        <w:kinsoku/>
        <w:bidi w:val="0"/>
        <w:spacing w:line="360" w:lineRule="auto"/>
        <w:textAlignment w:val="auto"/>
      </w:pPr>
    </w:p>
    <w:p>
      <w:pPr>
        <w:pStyle w:val="2"/>
        <w:pageBreakBefore w:val="0"/>
        <w:kinsoku/>
        <w:bidi w:val="0"/>
        <w:spacing w:line="360" w:lineRule="auto"/>
        <w:textAlignment w:val="auto"/>
      </w:pPr>
    </w:p>
    <w:p>
      <w:pPr>
        <w:pStyle w:val="2"/>
        <w:pageBreakBefore w:val="0"/>
        <w:kinsoku/>
        <w:bidi w:val="0"/>
        <w:spacing w:line="360" w:lineRule="auto"/>
        <w:textAlignment w:val="auto"/>
      </w:pPr>
    </w:p>
    <w:p>
      <w:pPr>
        <w:pStyle w:val="2"/>
        <w:pageBreakBefore w:val="0"/>
        <w:kinsoku/>
        <w:bidi w:val="0"/>
        <w:spacing w:line="360" w:lineRule="auto"/>
        <w:textAlignment w:val="auto"/>
      </w:pPr>
    </w:p>
    <w:p>
      <w:pPr>
        <w:pStyle w:val="2"/>
        <w:pageBreakBefore w:val="0"/>
        <w:kinsoku/>
        <w:bidi w:val="0"/>
        <w:spacing w:line="360" w:lineRule="auto"/>
        <w:jc w:val="center"/>
        <w:textAlignment w:val="auto"/>
        <w:rPr>
          <w:rFonts w:hint="eastAsia" w:eastAsia="宋体"/>
          <w:lang w:val="en-US" w:eastAsia="zh-CN"/>
        </w:rPr>
      </w:pPr>
      <w:r>
        <w:rPr>
          <w:rFonts w:hint="eastAsia"/>
          <w:lang w:val="en-US" w:eastAsia="zh-CN"/>
        </w:rPr>
        <w:t>缴纳投标保证金公司开户许可证及转账凭证</w:t>
      </w:r>
    </w:p>
    <w:p>
      <w:pPr>
        <w:pStyle w:val="2"/>
        <w:pageBreakBefore w:val="0"/>
        <w:kinsoku/>
        <w:bidi w:val="0"/>
        <w:spacing w:line="360" w:lineRule="auto"/>
        <w:textAlignment w:val="auto"/>
      </w:pPr>
    </w:p>
    <w:p>
      <w:pPr>
        <w:pStyle w:val="2"/>
        <w:pageBreakBefore w:val="0"/>
        <w:kinsoku/>
        <w:bidi w:val="0"/>
        <w:spacing w:line="360" w:lineRule="auto"/>
        <w:textAlignment w:val="auto"/>
      </w:pPr>
    </w:p>
    <w:p>
      <w:pPr>
        <w:pStyle w:val="2"/>
        <w:pageBreakBefore w:val="0"/>
        <w:kinsoku/>
        <w:bidi w:val="0"/>
        <w:spacing w:line="360" w:lineRule="auto"/>
        <w:textAlignment w:val="auto"/>
      </w:pPr>
    </w:p>
    <w:p>
      <w:pPr>
        <w:pStyle w:val="2"/>
        <w:pageBreakBefore w:val="0"/>
        <w:kinsoku/>
        <w:bidi w:val="0"/>
        <w:spacing w:line="360" w:lineRule="auto"/>
        <w:textAlignment w:val="auto"/>
      </w:pPr>
    </w:p>
    <w:p>
      <w:pPr>
        <w:pStyle w:val="2"/>
        <w:pageBreakBefore w:val="0"/>
        <w:kinsoku/>
        <w:bidi w:val="0"/>
        <w:spacing w:line="360" w:lineRule="auto"/>
        <w:textAlignment w:val="auto"/>
      </w:pPr>
    </w:p>
    <w:p>
      <w:pPr>
        <w:pageBreakBefore w:val="0"/>
        <w:kinsoku/>
        <w:bidi w:val="0"/>
        <w:spacing w:line="360" w:lineRule="auto"/>
        <w:ind w:firstLine="480"/>
        <w:textAlignment w:val="auto"/>
      </w:pPr>
    </w:p>
    <w:p>
      <w:pPr>
        <w:pageBreakBefore w:val="0"/>
        <w:kinsoku/>
        <w:bidi w:val="0"/>
        <w:spacing w:line="360" w:lineRule="auto"/>
        <w:ind w:firstLine="480"/>
        <w:jc w:val="right"/>
        <w:textAlignment w:val="auto"/>
      </w:pPr>
      <w:r>
        <w:rPr>
          <w:rFonts w:hint="eastAsia"/>
        </w:rPr>
        <w:t>投标人：______________________________（盖单位章）</w:t>
      </w:r>
    </w:p>
    <w:p>
      <w:pPr>
        <w:pageBreakBefore w:val="0"/>
        <w:kinsoku/>
        <w:bidi w:val="0"/>
        <w:spacing w:line="360" w:lineRule="auto"/>
        <w:ind w:firstLine="480"/>
        <w:jc w:val="right"/>
        <w:textAlignment w:val="auto"/>
      </w:pPr>
      <w:r>
        <w:rPr>
          <w:rFonts w:hint="eastAsia"/>
        </w:rPr>
        <w:t>法定代表人或其委托代理人：_________________（签字）</w:t>
      </w:r>
    </w:p>
    <w:p>
      <w:pPr>
        <w:pageBreakBefore w:val="0"/>
        <w:tabs>
          <w:tab w:val="left" w:pos="540"/>
        </w:tabs>
        <w:kinsoku/>
        <w:bidi w:val="0"/>
        <w:spacing w:before="100" w:beforeAutospacing="1" w:after="100" w:afterAutospacing="1" w:line="360" w:lineRule="auto"/>
        <w:ind w:firstLine="480"/>
        <w:jc w:val="center"/>
        <w:textAlignment w:val="auto"/>
        <w:rPr>
          <w:b/>
          <w:sz w:val="30"/>
          <w:szCs w:val="30"/>
        </w:rPr>
      </w:pPr>
      <w:r>
        <w:rPr>
          <w:rFonts w:hint="eastAsia"/>
        </w:rPr>
        <w:t>__________年_________月_________日</w:t>
      </w:r>
      <w:bookmarkStart w:id="127" w:name="_Toc431397893"/>
      <w:bookmarkStart w:id="128" w:name="_Ref369086714"/>
      <w:bookmarkStart w:id="129" w:name="_Ref430359421"/>
    </w:p>
    <w:bookmarkEnd w:id="127"/>
    <w:bookmarkEnd w:id="128"/>
    <w:bookmarkEnd w:id="129"/>
    <w:p>
      <w:pPr>
        <w:pageBreakBefore w:val="0"/>
        <w:widowControl/>
        <w:kinsoku/>
        <w:bidi w:val="0"/>
        <w:spacing w:line="360" w:lineRule="auto"/>
        <w:ind w:firstLine="0" w:firstLineChars="0"/>
        <w:jc w:val="left"/>
        <w:textAlignment w:val="auto"/>
      </w:pPr>
    </w:p>
    <w:p>
      <w:pPr>
        <w:pageBreakBefore w:val="0"/>
        <w:widowControl/>
        <w:kinsoku/>
        <w:bidi w:val="0"/>
        <w:spacing w:line="360" w:lineRule="auto"/>
        <w:ind w:firstLine="0" w:firstLineChars="0"/>
        <w:jc w:val="left"/>
        <w:textAlignment w:val="auto"/>
        <w:rPr>
          <w:rFonts w:cstheme="majorBidi"/>
          <w:b/>
          <w:bCs/>
          <w:szCs w:val="32"/>
        </w:rPr>
      </w:pPr>
      <w:r>
        <w:br w:type="page"/>
      </w:r>
    </w:p>
    <w:p>
      <w:pPr>
        <w:pStyle w:val="58"/>
        <w:pageBreakBefore w:val="0"/>
        <w:numPr>
          <w:ilvl w:val="0"/>
          <w:numId w:val="0"/>
        </w:numPr>
        <w:kinsoku/>
        <w:bidi w:val="0"/>
        <w:spacing w:line="360" w:lineRule="auto"/>
        <w:ind w:left="576"/>
        <w:jc w:val="center"/>
        <w:textAlignment w:val="auto"/>
      </w:pPr>
      <w:bookmarkStart w:id="130" w:name="_Toc437271306"/>
      <w:r>
        <w:rPr>
          <w:rFonts w:hint="eastAsia"/>
          <w:lang w:val="en-US" w:eastAsia="zh-CN"/>
        </w:rPr>
        <w:t>七</w:t>
      </w:r>
      <w:r>
        <w:rPr>
          <w:rFonts w:hint="eastAsia"/>
        </w:rPr>
        <w:t>、项目总投资</w:t>
      </w:r>
      <w:bookmarkEnd w:id="130"/>
    </w:p>
    <w:tbl>
      <w:tblPr>
        <w:tblStyle w:val="4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559"/>
        <w:gridCol w:w="1418"/>
        <w:gridCol w:w="1742"/>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序号</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项目阶段</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融资方式</w:t>
            </w:r>
          </w:p>
        </w:tc>
        <w:tc>
          <w:tcPr>
            <w:tcW w:w="1418"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进度计划</w:t>
            </w:r>
          </w:p>
        </w:tc>
        <w:tc>
          <w:tcPr>
            <w:tcW w:w="1742"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资金使用计划</w:t>
            </w:r>
          </w:p>
        </w:tc>
        <w:tc>
          <w:tcPr>
            <w:tcW w:w="1454"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1</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项目前期</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18"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74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2</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项目采购期</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18"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74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3</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项目建设期</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18"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74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4</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项目运营期</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18"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74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5</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项目移交</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18"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74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6</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eastAsia"/>
                <w:sz w:val="21"/>
                <w:szCs w:val="21"/>
              </w:rPr>
              <w:t>合 计</w:t>
            </w: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18"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74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bl>
    <w:p>
      <w:pPr>
        <w:pageBreakBefore w:val="0"/>
        <w:kinsoku/>
        <w:bidi w:val="0"/>
        <w:spacing w:line="360" w:lineRule="auto"/>
        <w:ind w:firstLine="420"/>
        <w:textAlignment w:val="auto"/>
        <w:rPr>
          <w:sz w:val="21"/>
          <w:szCs w:val="21"/>
        </w:rPr>
      </w:pPr>
      <w:r>
        <w:rPr>
          <w:rFonts w:hint="eastAsia"/>
          <w:sz w:val="21"/>
          <w:szCs w:val="21"/>
        </w:rPr>
        <w:t>注：除按上述表格填写外，本表应附投标价格构成、全生命周期内各期现金流、成本分析、投资收益率、效益分析等。</w:t>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wordWrap w:val="0"/>
        <w:bidi w:val="0"/>
        <w:spacing w:line="360" w:lineRule="auto"/>
        <w:ind w:firstLine="480"/>
        <w:jc w:val="right"/>
        <w:textAlignment w:val="auto"/>
      </w:pPr>
      <w:r>
        <w:rPr>
          <w:rFonts w:hint="eastAsia"/>
        </w:rPr>
        <w:t>投标人：_________________________（盖单位章）</w:t>
      </w:r>
    </w:p>
    <w:p>
      <w:pPr>
        <w:pageBreakBefore w:val="0"/>
        <w:kinsoku/>
        <w:bidi w:val="0"/>
        <w:spacing w:line="360" w:lineRule="auto"/>
        <w:ind w:firstLine="480"/>
        <w:jc w:val="right"/>
        <w:textAlignment w:val="auto"/>
      </w:pPr>
      <w:r>
        <w:rPr>
          <w:rFonts w:hint="eastAsia"/>
        </w:rPr>
        <w:t>法定代表人或其委托代理人：________________（签字）</w:t>
      </w:r>
    </w:p>
    <w:p>
      <w:pPr>
        <w:pageBreakBefore w:val="0"/>
        <w:kinsoku/>
        <w:bidi w:val="0"/>
        <w:spacing w:line="360" w:lineRule="auto"/>
        <w:ind w:firstLine="480"/>
        <w:jc w:val="right"/>
        <w:textAlignment w:val="auto"/>
      </w:pPr>
      <w:r>
        <w:rPr>
          <w:rFonts w:hint="eastAsia"/>
        </w:rPr>
        <w:t>__________年_________月_________日</w:t>
      </w:r>
    </w:p>
    <w:p>
      <w:pPr>
        <w:pageBreakBefore w:val="0"/>
        <w:kinsoku/>
        <w:bidi w:val="0"/>
        <w:spacing w:line="360" w:lineRule="auto"/>
        <w:ind w:firstLine="480"/>
        <w:jc w:val="right"/>
        <w:textAlignment w:val="auto"/>
      </w:pPr>
    </w:p>
    <w:p>
      <w:pPr>
        <w:pageBreakBefore w:val="0"/>
        <w:kinsoku/>
        <w:bidi w:val="0"/>
        <w:spacing w:line="360" w:lineRule="auto"/>
        <w:ind w:firstLine="480"/>
        <w:textAlignment w:val="auto"/>
      </w:pPr>
      <w:r>
        <w:br w:type="page"/>
      </w:r>
    </w:p>
    <w:p>
      <w:pPr>
        <w:pStyle w:val="58"/>
        <w:pageBreakBefore w:val="0"/>
        <w:numPr>
          <w:ilvl w:val="0"/>
          <w:numId w:val="0"/>
        </w:numPr>
        <w:kinsoku/>
        <w:bidi w:val="0"/>
        <w:spacing w:line="360" w:lineRule="auto"/>
        <w:ind w:left="576"/>
        <w:jc w:val="center"/>
        <w:textAlignment w:val="auto"/>
      </w:pPr>
      <w:bookmarkStart w:id="131" w:name="_Toc437271307"/>
      <w:r>
        <w:rPr>
          <w:rFonts w:hint="eastAsia"/>
          <w:lang w:val="en-US" w:eastAsia="zh-CN"/>
        </w:rPr>
        <w:t>八</w:t>
      </w:r>
      <w:r>
        <w:rPr>
          <w:rFonts w:hint="eastAsia"/>
        </w:rPr>
        <w:t>、偏离表</w:t>
      </w:r>
      <w:bookmarkEnd w:id="131"/>
    </w:p>
    <w:tbl>
      <w:tblPr>
        <w:tblStyle w:val="4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842"/>
        <w:gridCol w:w="1560"/>
        <w:gridCol w:w="117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序号</w:t>
            </w:r>
          </w:p>
        </w:tc>
        <w:tc>
          <w:tcPr>
            <w:tcW w:w="184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采购文件条款号</w:t>
            </w:r>
          </w:p>
        </w:tc>
        <w:tc>
          <w:tcPr>
            <w:tcW w:w="1842"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投标文件条款号</w:t>
            </w:r>
          </w:p>
        </w:tc>
        <w:tc>
          <w:tcPr>
            <w:tcW w:w="156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采购文件要求</w:t>
            </w:r>
          </w:p>
        </w:tc>
        <w:tc>
          <w:tcPr>
            <w:tcW w:w="117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响应内容</w:t>
            </w:r>
          </w:p>
        </w:tc>
        <w:tc>
          <w:tcPr>
            <w:tcW w:w="145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default"/>
                <w:sz w:val="21"/>
                <w:szCs w:val="21"/>
              </w:rPr>
              <w:t>1</w:t>
            </w:r>
          </w:p>
        </w:tc>
        <w:tc>
          <w:tcPr>
            <w:tcW w:w="184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842"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56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17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45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default"/>
                <w:sz w:val="21"/>
                <w:szCs w:val="21"/>
              </w:rPr>
              <w:t>2</w:t>
            </w:r>
          </w:p>
        </w:tc>
        <w:tc>
          <w:tcPr>
            <w:tcW w:w="184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842"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56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17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45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default"/>
                <w:sz w:val="21"/>
                <w:szCs w:val="21"/>
              </w:rPr>
              <w:t>3</w:t>
            </w:r>
          </w:p>
        </w:tc>
        <w:tc>
          <w:tcPr>
            <w:tcW w:w="184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842"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56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17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45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default"/>
                <w:sz w:val="21"/>
                <w:szCs w:val="21"/>
              </w:rPr>
              <w:t>4</w:t>
            </w:r>
          </w:p>
        </w:tc>
        <w:tc>
          <w:tcPr>
            <w:tcW w:w="184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842"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56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17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45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default"/>
                <w:sz w:val="21"/>
                <w:szCs w:val="21"/>
              </w:rPr>
              <w:t>5</w:t>
            </w:r>
          </w:p>
        </w:tc>
        <w:tc>
          <w:tcPr>
            <w:tcW w:w="184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842"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56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17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45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r>
              <w:rPr>
                <w:rFonts w:hint="default"/>
                <w:sz w:val="21"/>
                <w:szCs w:val="21"/>
              </w:rPr>
              <w:t>6</w:t>
            </w:r>
          </w:p>
        </w:tc>
        <w:tc>
          <w:tcPr>
            <w:tcW w:w="184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842"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56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17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45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84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842"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56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17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45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84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842"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56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17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c>
          <w:tcPr>
            <w:tcW w:w="145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szCs w:val="21"/>
              </w:rPr>
            </w:pPr>
          </w:p>
        </w:tc>
      </w:tr>
    </w:tbl>
    <w:p>
      <w:pPr>
        <w:pageBreakBefore w:val="0"/>
        <w:kinsoku/>
        <w:bidi w:val="0"/>
        <w:spacing w:line="360" w:lineRule="auto"/>
        <w:ind w:firstLine="480"/>
        <w:textAlignment w:val="auto"/>
        <w:rPr>
          <w:rFonts w:hint="eastAsia"/>
        </w:rPr>
      </w:pPr>
      <w:r>
        <w:rPr>
          <w:rFonts w:hint="eastAsia"/>
        </w:rPr>
        <w:t>注：增加或删除条款，请在本表中标明删除条款位置或添加位置。</w:t>
      </w:r>
    </w:p>
    <w:p>
      <w:pPr>
        <w:pStyle w:val="2"/>
        <w:ind w:firstLine="657" w:firstLineChars="274"/>
        <w:rPr>
          <w:rFonts w:hint="eastAsia"/>
          <w:lang w:val="en-US" w:eastAsia="zh-CN"/>
        </w:rPr>
      </w:pPr>
      <w:r>
        <w:rPr>
          <w:rFonts w:hint="eastAsia"/>
          <w:lang w:val="en-US" w:eastAsia="zh-CN"/>
        </w:rPr>
        <w:t>对招标文件中的项目协议的实质性条款的变更，其投标文件将被否决。</w:t>
      </w:r>
    </w:p>
    <w:p>
      <w:pPr>
        <w:pStyle w:val="2"/>
        <w:ind w:firstLine="657" w:firstLineChars="274"/>
        <w:rPr>
          <w:rFonts w:hint="eastAsia" w:ascii="Times New Roman" w:hAnsi="Times New Roman"/>
          <w:sz w:val="24"/>
          <w:szCs w:val="24"/>
        </w:rPr>
      </w:pPr>
      <w:r>
        <w:rPr>
          <w:rFonts w:hint="eastAsia" w:ascii="Times New Roman" w:hAnsi="Times New Roman"/>
          <w:sz w:val="24"/>
          <w:szCs w:val="24"/>
        </w:rPr>
        <w:t>投标人声明：除本偏差表所列出的偏差外，投标人完全接受招标文件第二卷所列的《PPP</w:t>
      </w:r>
      <w:r>
        <w:rPr>
          <w:rFonts w:hint="eastAsia" w:ascii="Times New Roman" w:hAnsi="Times New Roman"/>
          <w:sz w:val="24"/>
          <w:szCs w:val="24"/>
          <w:lang w:val="en-US" w:eastAsia="zh-CN"/>
        </w:rPr>
        <w:t>项目合同</w:t>
      </w:r>
      <w:r>
        <w:rPr>
          <w:rFonts w:hint="eastAsia" w:ascii="Times New Roman" w:hAnsi="Times New Roman"/>
          <w:sz w:val="24"/>
          <w:szCs w:val="24"/>
        </w:rPr>
        <w:t>》、《项目公司股东协议》、</w:t>
      </w:r>
      <w:r>
        <w:rPr>
          <w:rFonts w:hint="eastAsia" w:ascii="Times New Roman" w:hAnsi="Times New Roman"/>
          <w:sz w:val="24"/>
          <w:szCs w:val="24"/>
          <w:lang w:eastAsia="zh-CN"/>
        </w:rPr>
        <w:t>《</w:t>
      </w:r>
      <w:r>
        <w:rPr>
          <w:rFonts w:hint="eastAsia" w:ascii="Times New Roman" w:hAnsi="Times New Roman"/>
          <w:sz w:val="24"/>
          <w:szCs w:val="24"/>
          <w:lang w:val="en-US" w:eastAsia="zh-CN"/>
        </w:rPr>
        <w:t>项目投资协议</w:t>
      </w:r>
      <w:r>
        <w:rPr>
          <w:rFonts w:hint="eastAsia" w:ascii="Times New Roman" w:hAnsi="Times New Roman"/>
          <w:sz w:val="24"/>
          <w:szCs w:val="24"/>
          <w:lang w:eastAsia="zh-CN"/>
        </w:rPr>
        <w:t>》、</w:t>
      </w:r>
      <w:r>
        <w:rPr>
          <w:rFonts w:hint="eastAsia" w:ascii="Times New Roman" w:hAnsi="Times New Roman"/>
          <w:sz w:val="24"/>
          <w:szCs w:val="24"/>
        </w:rPr>
        <w:t>《项目公司章程》以及采购人在答疑环节对前述文件所做的澄清中的其他全部内容。</w:t>
      </w:r>
    </w:p>
    <w:p>
      <w:pPr>
        <w:pageBreakBefore w:val="0"/>
        <w:kinsoku/>
        <w:bidi w:val="0"/>
        <w:spacing w:line="360" w:lineRule="auto"/>
        <w:ind w:firstLine="480"/>
        <w:textAlignment w:val="auto"/>
      </w:pPr>
    </w:p>
    <w:p>
      <w:pPr>
        <w:pageBreakBefore w:val="0"/>
        <w:kinsoku/>
        <w:bidi w:val="0"/>
        <w:spacing w:line="360" w:lineRule="auto"/>
        <w:ind w:firstLine="480"/>
        <w:jc w:val="right"/>
        <w:textAlignment w:val="auto"/>
      </w:pPr>
      <w:r>
        <w:rPr>
          <w:rFonts w:hint="eastAsia"/>
        </w:rPr>
        <w:t>投标人：____________________(盖单位章)</w:t>
      </w:r>
    </w:p>
    <w:p>
      <w:pPr>
        <w:pageBreakBefore w:val="0"/>
        <w:kinsoku/>
        <w:bidi w:val="0"/>
        <w:spacing w:line="360" w:lineRule="auto"/>
        <w:ind w:firstLine="480"/>
        <w:jc w:val="right"/>
        <w:textAlignment w:val="auto"/>
      </w:pPr>
      <w:r>
        <w:rPr>
          <w:rFonts w:hint="eastAsia"/>
        </w:rPr>
        <w:t>法定代表人或其委托代理人：____________(签字)</w:t>
      </w:r>
    </w:p>
    <w:p>
      <w:pPr>
        <w:pageBreakBefore w:val="0"/>
        <w:kinsoku/>
        <w:bidi w:val="0"/>
        <w:spacing w:line="360" w:lineRule="auto"/>
        <w:ind w:firstLine="480"/>
        <w:jc w:val="right"/>
        <w:textAlignment w:val="auto"/>
      </w:pPr>
      <w:r>
        <w:rPr>
          <w:rFonts w:hint="eastAsia"/>
        </w:rPr>
        <w:t>__________年_________月_________日</w:t>
      </w:r>
    </w:p>
    <w:p>
      <w:pPr>
        <w:pageBreakBefore w:val="0"/>
        <w:widowControl/>
        <w:kinsoku/>
        <w:bidi w:val="0"/>
        <w:spacing w:line="360" w:lineRule="auto"/>
        <w:ind w:firstLine="0" w:firstLineChars="0"/>
        <w:jc w:val="left"/>
        <w:textAlignment w:val="auto"/>
        <w:rPr>
          <w:rFonts w:cstheme="majorBidi"/>
          <w:bCs/>
          <w:szCs w:val="32"/>
        </w:rPr>
      </w:pPr>
      <w:r>
        <w:rPr>
          <w:b/>
        </w:rPr>
        <w:br w:type="page"/>
      </w:r>
    </w:p>
    <w:p>
      <w:pPr>
        <w:pStyle w:val="58"/>
        <w:pageBreakBefore w:val="0"/>
        <w:numPr>
          <w:ilvl w:val="0"/>
          <w:numId w:val="0"/>
        </w:numPr>
        <w:kinsoku/>
        <w:bidi w:val="0"/>
        <w:spacing w:line="360" w:lineRule="auto"/>
        <w:ind w:left="576"/>
        <w:jc w:val="center"/>
        <w:textAlignment w:val="auto"/>
      </w:pPr>
      <w:bookmarkStart w:id="132" w:name="_Toc437271308"/>
      <w:r>
        <w:rPr>
          <w:rFonts w:hint="eastAsia"/>
          <w:lang w:val="en-US" w:eastAsia="zh-CN"/>
        </w:rPr>
        <w:t>九</w:t>
      </w:r>
      <w:r>
        <w:rPr>
          <w:rFonts w:hint="eastAsia"/>
        </w:rPr>
        <w:t>、项目公司设立方案</w:t>
      </w:r>
      <w:bookmarkEnd w:id="132"/>
    </w:p>
    <w:p>
      <w:pPr>
        <w:pageBreakBefore w:val="0"/>
        <w:kinsoku/>
        <w:bidi w:val="0"/>
        <w:spacing w:line="360" w:lineRule="auto"/>
        <w:ind w:firstLine="480"/>
        <w:textAlignment w:val="auto"/>
      </w:pPr>
      <w:r>
        <w:rPr>
          <w:rFonts w:hint="eastAsia"/>
        </w:rPr>
        <w:t>设立方案中至少应包含股东简介、股东出资方案、拟组建的组织机构设置及相应的职责范围、拟派驻项目公司的主要人员情况等内容。（说明</w:t>
      </w:r>
      <w:r>
        <w:t>：主要人员指项目经理、技术负责人、财务负责人</w:t>
      </w:r>
      <w:r>
        <w:rPr>
          <w:rFonts w:hint="eastAsia"/>
        </w:rPr>
        <w:t>、</w:t>
      </w:r>
      <w:r>
        <w:t>质检负责人等）</w:t>
      </w:r>
    </w:p>
    <w:p>
      <w:pPr>
        <w:pStyle w:val="59"/>
        <w:pageBreakBefore w:val="0"/>
        <w:numPr>
          <w:ilvl w:val="0"/>
          <w:numId w:val="3"/>
        </w:numPr>
        <w:kinsoku/>
        <w:bidi w:val="0"/>
        <w:spacing w:line="360" w:lineRule="auto"/>
        <w:jc w:val="center"/>
        <w:textAlignment w:val="auto"/>
        <w:rPr>
          <w:b/>
        </w:rPr>
      </w:pPr>
      <w:bookmarkStart w:id="133" w:name="_Toc437271309"/>
      <w:r>
        <w:rPr>
          <w:rFonts w:hint="eastAsia"/>
          <w:b/>
        </w:rPr>
        <w:t>拟组建项目组织机构组成表</w:t>
      </w:r>
      <w:bookmarkEnd w:id="133"/>
    </w:p>
    <w:tbl>
      <w:tblPr>
        <w:tblStyle w:val="4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81"/>
        <w:gridCol w:w="1181"/>
        <w:gridCol w:w="1182"/>
        <w:gridCol w:w="1276"/>
        <w:gridCol w:w="195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序号</w:t>
            </w:r>
          </w:p>
        </w:tc>
        <w:tc>
          <w:tcPr>
            <w:tcW w:w="1181"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姓名</w:t>
            </w:r>
          </w:p>
        </w:tc>
        <w:tc>
          <w:tcPr>
            <w:tcW w:w="1181"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职务</w:t>
            </w:r>
          </w:p>
        </w:tc>
        <w:tc>
          <w:tcPr>
            <w:tcW w:w="1182"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职称</w:t>
            </w:r>
          </w:p>
        </w:tc>
        <w:tc>
          <w:tcPr>
            <w:tcW w:w="127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所学专业</w:t>
            </w:r>
          </w:p>
        </w:tc>
        <w:tc>
          <w:tcPr>
            <w:tcW w:w="195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本项目所担当职务</w:t>
            </w:r>
          </w:p>
        </w:tc>
        <w:tc>
          <w:tcPr>
            <w:tcW w:w="12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b/>
                <w:sz w:val="21"/>
                <w:szCs w:val="21"/>
              </w:rPr>
            </w:pPr>
            <w:r>
              <w:rPr>
                <w:rFonts w:hint="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182"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7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95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bl>
    <w:p>
      <w:pPr>
        <w:pageBreakBefore w:val="0"/>
        <w:kinsoku/>
        <w:bidi w:val="0"/>
        <w:spacing w:line="360" w:lineRule="auto"/>
        <w:ind w:firstLine="480"/>
        <w:textAlignment w:val="auto"/>
      </w:pPr>
    </w:p>
    <w:p>
      <w:pPr>
        <w:pageBreakBefore w:val="0"/>
        <w:kinsoku/>
        <w:bidi w:val="0"/>
        <w:spacing w:line="360" w:lineRule="auto"/>
        <w:ind w:firstLine="480"/>
        <w:textAlignment w:val="auto"/>
      </w:pPr>
      <w:r>
        <w:br w:type="page"/>
      </w:r>
    </w:p>
    <w:p>
      <w:pPr>
        <w:pStyle w:val="59"/>
        <w:pageBreakBefore w:val="0"/>
        <w:numPr>
          <w:ilvl w:val="0"/>
          <w:numId w:val="3"/>
        </w:numPr>
        <w:kinsoku/>
        <w:bidi w:val="0"/>
        <w:spacing w:line="360" w:lineRule="auto"/>
        <w:jc w:val="center"/>
        <w:textAlignment w:val="auto"/>
        <w:rPr>
          <w:b/>
        </w:rPr>
      </w:pPr>
      <w:bookmarkStart w:id="134" w:name="_Toc437271310"/>
      <w:r>
        <w:rPr>
          <w:rFonts w:hint="eastAsia"/>
          <w:b/>
        </w:rPr>
        <w:t>主要人员简历表</w:t>
      </w:r>
      <w:bookmarkEnd w:id="134"/>
    </w:p>
    <w:p>
      <w:pPr>
        <w:pageBreakBefore w:val="0"/>
        <w:kinsoku/>
        <w:bidi w:val="0"/>
        <w:spacing w:line="360" w:lineRule="auto"/>
        <w:ind w:firstLine="480"/>
        <w:textAlignment w:val="auto"/>
      </w:pPr>
      <w:r>
        <w:rPr>
          <w:rFonts w:hint="eastAsia"/>
        </w:rPr>
        <w:t>“主要人员简历表”中的项目负责人应附身份证、职称证、学历证，管理过的项目业绩须附合同协议书复印件；其他主要人员应附职称证（执业证或上岗证书）。</w:t>
      </w:r>
    </w:p>
    <w:tbl>
      <w:tblPr>
        <w:tblStyle w:val="4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527"/>
        <w:gridCol w:w="850"/>
        <w:gridCol w:w="1418"/>
        <w:gridCol w:w="1417"/>
        <w:gridCol w:w="170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eastAsia"/>
                <w:sz w:val="21"/>
                <w:szCs w:val="21"/>
              </w:rPr>
              <w:t>姓名</w:t>
            </w:r>
          </w:p>
        </w:tc>
        <w:tc>
          <w:tcPr>
            <w:tcW w:w="1377"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18"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eastAsia"/>
                <w:sz w:val="21"/>
                <w:szCs w:val="21"/>
              </w:rPr>
              <w:t>年龄</w:t>
            </w:r>
          </w:p>
        </w:tc>
        <w:tc>
          <w:tcPr>
            <w:tcW w:w="1417"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701"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eastAsia"/>
                <w:sz w:val="21"/>
                <w:szCs w:val="21"/>
              </w:rPr>
              <w:t>学历</w:t>
            </w:r>
          </w:p>
        </w:tc>
        <w:tc>
          <w:tcPr>
            <w:tcW w:w="135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eastAsia"/>
                <w:sz w:val="21"/>
                <w:szCs w:val="21"/>
              </w:rPr>
              <w:t>职称</w:t>
            </w:r>
          </w:p>
        </w:tc>
        <w:tc>
          <w:tcPr>
            <w:tcW w:w="1377"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418"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eastAsia"/>
                <w:sz w:val="21"/>
                <w:szCs w:val="21"/>
              </w:rPr>
              <w:t>职务</w:t>
            </w:r>
          </w:p>
        </w:tc>
        <w:tc>
          <w:tcPr>
            <w:tcW w:w="1417"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c>
          <w:tcPr>
            <w:tcW w:w="1701"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r>
              <w:rPr>
                <w:rFonts w:hint="eastAsia"/>
                <w:sz w:val="21"/>
                <w:szCs w:val="21"/>
              </w:rPr>
              <w:t>拟在本项目任职</w:t>
            </w:r>
          </w:p>
        </w:tc>
        <w:tc>
          <w:tcPr>
            <w:tcW w:w="135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rPr>
            </w:pPr>
            <w:r>
              <w:rPr>
                <w:rFonts w:hint="eastAsia"/>
                <w:sz w:val="21"/>
              </w:rPr>
              <w:t>毕业学校</w:t>
            </w:r>
          </w:p>
        </w:tc>
        <w:tc>
          <w:tcPr>
            <w:tcW w:w="7267" w:type="dxa"/>
            <w:gridSpan w:val="6"/>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sz w:val="21"/>
              </w:rPr>
            </w:pPr>
            <w:r>
              <w:rPr>
                <w:rFonts w:hint="eastAsia"/>
                <w:sz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rPr>
            </w:pPr>
            <w:r>
              <w:rPr>
                <w:rFonts w:hint="eastAsia"/>
                <w:sz w:val="21"/>
              </w:rPr>
              <w:t>时间</w:t>
            </w: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rPr>
            </w:pPr>
            <w:r>
              <w:rPr>
                <w:rFonts w:hint="eastAsia"/>
                <w:sz w:val="21"/>
              </w:rPr>
              <w:t>参加过的类似项目</w:t>
            </w: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rPr>
            </w:pPr>
            <w:r>
              <w:rPr>
                <w:rFonts w:hint="eastAsia"/>
                <w:sz w:val="21"/>
              </w:rPr>
              <w:t>担任职务</w:t>
            </w: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sz w:val="21"/>
              </w:rPr>
            </w:pPr>
            <w:r>
              <w:rPr>
                <w:rFonts w:hint="eastAsia"/>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3685" w:type="dxa"/>
            <w:gridSpan w:val="3"/>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70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c>
          <w:tcPr>
            <w:tcW w:w="135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rPr>
            </w:pPr>
          </w:p>
        </w:tc>
      </w:tr>
    </w:tbl>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r>
        <w:br w:type="page"/>
      </w:r>
    </w:p>
    <w:p>
      <w:pPr>
        <w:pStyle w:val="58"/>
        <w:pageBreakBefore w:val="0"/>
        <w:numPr>
          <w:ilvl w:val="0"/>
          <w:numId w:val="0"/>
        </w:numPr>
        <w:kinsoku/>
        <w:bidi w:val="0"/>
        <w:spacing w:line="360" w:lineRule="auto"/>
        <w:ind w:left="576"/>
        <w:jc w:val="center"/>
        <w:textAlignment w:val="auto"/>
        <w:rPr>
          <w:color w:val="auto"/>
        </w:rPr>
      </w:pPr>
      <w:bookmarkStart w:id="135" w:name="_Toc437271311"/>
      <w:r>
        <w:rPr>
          <w:rFonts w:hint="eastAsia"/>
          <w:color w:val="auto"/>
        </w:rPr>
        <w:t>十、资格文件</w:t>
      </w:r>
      <w:bookmarkEnd w:id="135"/>
    </w:p>
    <w:p>
      <w:pPr>
        <w:pStyle w:val="59"/>
        <w:pageBreakBefore w:val="0"/>
        <w:numPr>
          <w:ilvl w:val="0"/>
          <w:numId w:val="4"/>
        </w:numPr>
        <w:kinsoku/>
        <w:bidi w:val="0"/>
        <w:spacing w:line="360" w:lineRule="auto"/>
        <w:jc w:val="center"/>
        <w:textAlignment w:val="auto"/>
        <w:rPr>
          <w:b/>
          <w:color w:val="auto"/>
        </w:rPr>
      </w:pPr>
      <w:bookmarkStart w:id="136" w:name="_Toc437271312"/>
      <w:r>
        <w:rPr>
          <w:rFonts w:hint="eastAsia"/>
          <w:b/>
          <w:color w:val="auto"/>
        </w:rPr>
        <w:t>投标人基本情况</w:t>
      </w:r>
      <w:bookmarkEnd w:id="136"/>
    </w:p>
    <w:tbl>
      <w:tblPr>
        <w:tblStyle w:val="4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77"/>
        <w:gridCol w:w="1246"/>
        <w:gridCol w:w="937"/>
        <w:gridCol w:w="142"/>
        <w:gridCol w:w="1413"/>
        <w:gridCol w:w="12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投标人名称</w:t>
            </w:r>
          </w:p>
        </w:tc>
        <w:tc>
          <w:tcPr>
            <w:tcW w:w="7307" w:type="dxa"/>
            <w:gridSpan w:val="7"/>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注册地址</w:t>
            </w:r>
          </w:p>
        </w:tc>
        <w:tc>
          <w:tcPr>
            <w:tcW w:w="3260" w:type="dxa"/>
            <w:gridSpan w:val="3"/>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55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邮政编码</w:t>
            </w:r>
          </w:p>
        </w:tc>
        <w:tc>
          <w:tcPr>
            <w:tcW w:w="2492"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联系方式</w:t>
            </w:r>
          </w:p>
        </w:tc>
        <w:tc>
          <w:tcPr>
            <w:tcW w:w="1077"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联系人</w:t>
            </w:r>
          </w:p>
        </w:tc>
        <w:tc>
          <w:tcPr>
            <w:tcW w:w="2183"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55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电话</w:t>
            </w:r>
          </w:p>
        </w:tc>
        <w:tc>
          <w:tcPr>
            <w:tcW w:w="2492"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077"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传真</w:t>
            </w:r>
          </w:p>
        </w:tc>
        <w:tc>
          <w:tcPr>
            <w:tcW w:w="2183"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55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网址</w:t>
            </w:r>
          </w:p>
        </w:tc>
        <w:tc>
          <w:tcPr>
            <w:tcW w:w="2492"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组织结构</w:t>
            </w:r>
          </w:p>
        </w:tc>
        <w:tc>
          <w:tcPr>
            <w:tcW w:w="7307" w:type="dxa"/>
            <w:gridSpan w:val="7"/>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法定代表人</w:t>
            </w:r>
          </w:p>
        </w:tc>
        <w:tc>
          <w:tcPr>
            <w:tcW w:w="1077"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姓名</w:t>
            </w:r>
          </w:p>
        </w:tc>
        <w:tc>
          <w:tcPr>
            <w:tcW w:w="12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079"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技术职称</w:t>
            </w:r>
          </w:p>
        </w:tc>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2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电话</w:t>
            </w:r>
          </w:p>
        </w:tc>
        <w:tc>
          <w:tcPr>
            <w:tcW w:w="12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成立时间</w:t>
            </w:r>
          </w:p>
        </w:tc>
        <w:tc>
          <w:tcPr>
            <w:tcW w:w="2323"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4984" w:type="dxa"/>
            <w:gridSpan w:val="5"/>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r>
              <w:rPr>
                <w:rFonts w:hint="eastAsia"/>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营业执照号</w:t>
            </w:r>
          </w:p>
        </w:tc>
        <w:tc>
          <w:tcPr>
            <w:tcW w:w="2323"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937" w:type="dxa"/>
            <w:vMerge w:val="restart"/>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其中</w:t>
            </w:r>
          </w:p>
        </w:tc>
        <w:tc>
          <w:tcPr>
            <w:tcW w:w="155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高级职称人员</w:t>
            </w:r>
          </w:p>
        </w:tc>
        <w:tc>
          <w:tcPr>
            <w:tcW w:w="2492"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注册资金</w:t>
            </w:r>
          </w:p>
        </w:tc>
        <w:tc>
          <w:tcPr>
            <w:tcW w:w="2323"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937" w:type="dxa"/>
            <w:vMerge w:val="continue"/>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55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中级职称人员</w:t>
            </w:r>
          </w:p>
        </w:tc>
        <w:tc>
          <w:tcPr>
            <w:tcW w:w="2492"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开户银行</w:t>
            </w:r>
          </w:p>
        </w:tc>
        <w:tc>
          <w:tcPr>
            <w:tcW w:w="2323"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937" w:type="dxa"/>
            <w:vMerge w:val="continue"/>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55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初级职称人员</w:t>
            </w:r>
          </w:p>
        </w:tc>
        <w:tc>
          <w:tcPr>
            <w:tcW w:w="2492"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账号</w:t>
            </w:r>
          </w:p>
        </w:tc>
        <w:tc>
          <w:tcPr>
            <w:tcW w:w="2323"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937" w:type="dxa"/>
            <w:vMerge w:val="continue"/>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555" w:type="dxa"/>
            <w:gridSpan w:val="2"/>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技工</w:t>
            </w:r>
          </w:p>
        </w:tc>
        <w:tc>
          <w:tcPr>
            <w:tcW w:w="2492" w:type="dxa"/>
            <w:gridSpan w:val="2"/>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经营范围</w:t>
            </w:r>
          </w:p>
        </w:tc>
        <w:tc>
          <w:tcPr>
            <w:tcW w:w="7307" w:type="dxa"/>
            <w:gridSpan w:val="7"/>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备注</w:t>
            </w:r>
          </w:p>
        </w:tc>
        <w:tc>
          <w:tcPr>
            <w:tcW w:w="7307" w:type="dxa"/>
            <w:gridSpan w:val="7"/>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bl>
    <w:p>
      <w:pPr>
        <w:pageBreakBefore w:val="0"/>
        <w:kinsoku/>
        <w:bidi w:val="0"/>
        <w:spacing w:line="360" w:lineRule="auto"/>
        <w:ind w:firstLine="480"/>
        <w:textAlignment w:val="auto"/>
        <w:rPr>
          <w:color w:val="auto"/>
        </w:rPr>
      </w:pPr>
      <w:r>
        <w:rPr>
          <w:rFonts w:hint="eastAsia"/>
          <w:color w:val="auto"/>
        </w:rPr>
        <w:t>注：应附投标人营业执照副本、基本户开户证明；资质证书副本（如有）等相关资料的复印件。组成联合体的，应提供联合体各方的中请人基本情况表及相关证明文件。</w:t>
      </w:r>
    </w:p>
    <w:p>
      <w:pPr>
        <w:pageBreakBefore w:val="0"/>
        <w:kinsoku/>
        <w:bidi w:val="0"/>
        <w:spacing w:line="360" w:lineRule="auto"/>
        <w:ind w:firstLine="480"/>
        <w:textAlignment w:val="auto"/>
        <w:rPr>
          <w:color w:val="auto"/>
        </w:rPr>
      </w:pPr>
    </w:p>
    <w:p>
      <w:pPr>
        <w:pageBreakBefore w:val="0"/>
        <w:widowControl/>
        <w:kinsoku/>
        <w:bidi w:val="0"/>
        <w:spacing w:line="360" w:lineRule="auto"/>
        <w:ind w:firstLine="0" w:firstLineChars="0"/>
        <w:jc w:val="left"/>
        <w:textAlignment w:val="auto"/>
        <w:rPr>
          <w:color w:val="auto"/>
        </w:rPr>
      </w:pPr>
      <w:r>
        <w:rPr>
          <w:color w:val="auto"/>
        </w:rPr>
        <w:br w:type="page"/>
      </w:r>
    </w:p>
    <w:p>
      <w:pPr>
        <w:pStyle w:val="59"/>
        <w:pageBreakBefore w:val="0"/>
        <w:numPr>
          <w:ilvl w:val="0"/>
          <w:numId w:val="4"/>
        </w:numPr>
        <w:kinsoku/>
        <w:bidi w:val="0"/>
        <w:spacing w:line="360" w:lineRule="auto"/>
        <w:jc w:val="center"/>
        <w:textAlignment w:val="auto"/>
        <w:rPr>
          <w:b/>
          <w:color w:val="auto"/>
        </w:rPr>
      </w:pPr>
      <w:bookmarkStart w:id="137" w:name="_Toc437271313"/>
      <w:r>
        <w:rPr>
          <w:rFonts w:hint="eastAsia"/>
          <w:b/>
          <w:color w:val="auto"/>
        </w:rPr>
        <w:t>近年财务状况表</w:t>
      </w:r>
      <w:bookmarkEnd w:id="137"/>
    </w:p>
    <w:tbl>
      <w:tblPr>
        <w:tblStyle w:val="4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85"/>
        <w:gridCol w:w="1685"/>
        <w:gridCol w:w="168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指标名称</w:t>
            </w: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_______年</w:t>
            </w: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_______年</w:t>
            </w: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______年</w:t>
            </w: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资产负债率</w:t>
            </w:r>
            <w:r>
              <w:rPr>
                <w:rFonts w:hint="eastAsia" w:asciiTheme="minorEastAsia" w:hAnsiTheme="minorEastAsia" w:eastAsiaTheme="minorEastAsia"/>
                <w:color w:val="auto"/>
                <w:sz w:val="21"/>
                <w:szCs w:val="21"/>
              </w:rPr>
              <w:t>(％)</w:t>
            </w: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r>
              <w:rPr>
                <w:rFonts w:hint="eastAsia"/>
                <w:color w:val="auto"/>
                <w:sz w:val="21"/>
                <w:szCs w:val="21"/>
              </w:rPr>
              <w:t>净资产收益率（％）</w:t>
            </w: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w:t>
            </w: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c>
          <w:tcPr>
            <w:tcW w:w="1685"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p>
        </w:tc>
      </w:tr>
    </w:tbl>
    <w:p>
      <w:pPr>
        <w:pageBreakBefore w:val="0"/>
        <w:kinsoku/>
        <w:bidi w:val="0"/>
        <w:spacing w:line="360" w:lineRule="auto"/>
        <w:ind w:firstLine="480"/>
        <w:textAlignment w:val="auto"/>
        <w:rPr>
          <w:color w:val="auto"/>
        </w:rPr>
      </w:pPr>
      <w:r>
        <w:rPr>
          <w:rFonts w:hint="eastAsia"/>
          <w:color w:val="auto"/>
        </w:rPr>
        <w:t>注：本表应附经会计师事务所或审计机构审计的财务会计报表，包括资产负债表、现金流量表、利润表和财务情况说明书的复印件。</w:t>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r>
        <w:br w:type="page"/>
      </w:r>
    </w:p>
    <w:p>
      <w:pPr>
        <w:pStyle w:val="59"/>
        <w:pageBreakBefore w:val="0"/>
        <w:numPr>
          <w:ilvl w:val="0"/>
          <w:numId w:val="4"/>
        </w:numPr>
        <w:kinsoku/>
        <w:bidi w:val="0"/>
        <w:spacing w:line="360" w:lineRule="auto"/>
        <w:jc w:val="center"/>
        <w:textAlignment w:val="auto"/>
        <w:rPr>
          <w:b/>
          <w:color w:val="auto"/>
        </w:rPr>
      </w:pPr>
      <w:bookmarkStart w:id="138" w:name="_Toc437271314"/>
      <w:r>
        <w:rPr>
          <w:rFonts w:hint="eastAsia"/>
          <w:b/>
          <w:color w:val="auto"/>
        </w:rPr>
        <w:t>项目业绩表</w:t>
      </w:r>
      <w:bookmarkEnd w:id="138"/>
    </w:p>
    <w:p>
      <w:pPr>
        <w:pageBreakBefore w:val="0"/>
        <w:kinsoku/>
        <w:bidi w:val="0"/>
        <w:spacing w:before="240" w:after="120" w:line="360" w:lineRule="auto"/>
        <w:ind w:firstLine="482"/>
        <w:textAlignment w:val="auto"/>
        <w:rPr>
          <w:b/>
          <w:color w:val="auto"/>
        </w:rPr>
      </w:pPr>
      <w:r>
        <w:rPr>
          <w:b/>
          <w:color w:val="auto"/>
        </w:rPr>
        <w:t>填表须知：</w:t>
      </w:r>
    </w:p>
    <w:p>
      <w:pPr>
        <w:pageBreakBefore w:val="0"/>
        <w:kinsoku/>
        <w:bidi w:val="0"/>
        <w:spacing w:line="360" w:lineRule="auto"/>
        <w:ind w:firstLine="480"/>
        <w:textAlignment w:val="auto"/>
        <w:rPr>
          <w:color w:val="auto"/>
        </w:rPr>
      </w:pPr>
      <w:r>
        <w:rPr>
          <w:color w:val="auto"/>
        </w:rPr>
        <w:t>每一独立法人实体或联合体牵头人均应按本表格式或申请人（社会资本）认为合适的格式，列出从201</w:t>
      </w:r>
      <w:r>
        <w:rPr>
          <w:rFonts w:hint="eastAsia"/>
          <w:color w:val="auto"/>
          <w:lang w:val="en-US" w:eastAsia="zh-CN"/>
        </w:rPr>
        <w:t>5</w:t>
      </w:r>
      <w:r>
        <w:rPr>
          <w:color w:val="auto"/>
        </w:rPr>
        <w:t>年1月1日截止到资格预审公告发布之日，在中国大陆地区拥有</w:t>
      </w:r>
      <w:r>
        <w:rPr>
          <w:rFonts w:hint="eastAsia" w:hAnsi="宋体"/>
          <w:color w:val="auto"/>
          <w:szCs w:val="21"/>
        </w:rPr>
        <w:t>类似业绩（详见前文）</w:t>
      </w:r>
      <w:r>
        <w:rPr>
          <w:color w:val="auto"/>
        </w:rPr>
        <w:t>的建设基本情况介绍；如果合同金额为外币，应以合同币种按中标时的汇率或项目建设完成时的汇率换算成人民币计价（以合同签订日期为准）。</w:t>
      </w:r>
    </w:p>
    <w:p>
      <w:pPr>
        <w:pageBreakBefore w:val="0"/>
        <w:kinsoku/>
        <w:bidi w:val="0"/>
        <w:spacing w:line="360" w:lineRule="auto"/>
        <w:ind w:firstLine="480"/>
        <w:textAlignment w:val="auto"/>
        <w:rPr>
          <w:color w:val="auto"/>
        </w:rPr>
      </w:pPr>
      <w:r>
        <w:rPr>
          <w:color w:val="auto"/>
        </w:rPr>
        <w:t>注：后附表格中提及的</w:t>
      </w:r>
      <w:r>
        <w:rPr>
          <w:rFonts w:hint="eastAsia"/>
          <w:color w:val="auto"/>
        </w:rPr>
        <w:t>资格预审后新增业绩</w:t>
      </w:r>
      <w:r>
        <w:rPr>
          <w:color w:val="auto"/>
        </w:rPr>
        <w:t>合同扫描件。</w:t>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before="156" w:beforeLines="50" w:after="156" w:afterLines="50" w:line="360" w:lineRule="auto"/>
        <w:ind w:firstLine="482"/>
        <w:jc w:val="center"/>
        <w:textAlignment w:val="auto"/>
        <w:rPr>
          <w:b/>
          <w:color w:val="auto"/>
          <w:kern w:val="0"/>
        </w:rPr>
      </w:pPr>
      <w:r>
        <w:rPr>
          <w:b/>
          <w:kern w:val="0"/>
        </w:rPr>
        <w:br w:type="page"/>
      </w:r>
      <w:r>
        <w:rPr>
          <w:b/>
          <w:color w:val="auto"/>
          <w:kern w:val="0"/>
        </w:rPr>
        <w:t>项目经验统计表</w:t>
      </w:r>
    </w:p>
    <w:tbl>
      <w:tblPr>
        <w:tblStyle w:val="44"/>
        <w:tblW w:w="9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899"/>
        <w:gridCol w:w="453"/>
        <w:gridCol w:w="1190"/>
        <w:gridCol w:w="1043"/>
        <w:gridCol w:w="1215"/>
        <w:gridCol w:w="855"/>
        <w:gridCol w:w="628"/>
        <w:gridCol w:w="242"/>
        <w:gridCol w:w="150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3" w:hRule="atLeast"/>
          <w:jc w:val="center"/>
        </w:trPr>
        <w:tc>
          <w:tcPr>
            <w:tcW w:w="1696"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b/>
                <w:bCs/>
                <w:color w:val="auto"/>
                <w:sz w:val="21"/>
                <w:szCs w:val="21"/>
              </w:rPr>
            </w:pPr>
            <w:r>
              <w:rPr>
                <w:rFonts w:hint="eastAsia" w:ascii="宋体" w:hAnsi="宋体"/>
                <w:b/>
                <w:bCs/>
                <w:color w:val="auto"/>
                <w:sz w:val="21"/>
                <w:szCs w:val="21"/>
              </w:rPr>
              <w:t>独立</w:t>
            </w:r>
            <w:r>
              <w:rPr>
                <w:rFonts w:hint="default" w:ascii="宋体" w:hAnsi="宋体"/>
                <w:b/>
                <w:bCs/>
                <w:color w:val="auto"/>
                <w:sz w:val="21"/>
                <w:szCs w:val="21"/>
              </w:rPr>
              <w:t>法人</w:t>
            </w:r>
          </w:p>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b/>
                <w:color w:val="auto"/>
                <w:szCs w:val="21"/>
              </w:rPr>
            </w:pPr>
            <w:r>
              <w:rPr>
                <w:rFonts w:hint="default" w:ascii="宋体" w:hAnsi="宋体"/>
                <w:b/>
                <w:bCs/>
                <w:color w:val="auto"/>
                <w:sz w:val="21"/>
                <w:szCs w:val="21"/>
              </w:rPr>
              <w:t>实体名称</w:t>
            </w:r>
          </w:p>
        </w:tc>
        <w:tc>
          <w:tcPr>
            <w:tcW w:w="5384" w:type="dxa"/>
            <w:gridSpan w:val="6"/>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2"/>
              <w:jc w:val="center"/>
              <w:textAlignment w:val="auto"/>
              <w:rPr>
                <w:rFonts w:hint="default" w:ascii="宋体" w:hAnsi="宋体"/>
                <w:b/>
                <w:color w:val="auto"/>
                <w:szCs w:val="21"/>
              </w:rPr>
            </w:pPr>
          </w:p>
        </w:tc>
        <w:tc>
          <w:tcPr>
            <w:tcW w:w="2567" w:type="dxa"/>
            <w:gridSpan w:val="3"/>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b/>
                <w:bCs/>
                <w:color w:val="auto"/>
                <w:szCs w:val="21"/>
              </w:rPr>
            </w:pPr>
            <w:r>
              <w:rPr>
                <w:rFonts w:hint="default" w:ascii="宋体" w:hAnsi="宋体"/>
                <w:b/>
                <w:color w:val="auto"/>
                <w:sz w:val="21"/>
                <w:szCs w:val="21"/>
              </w:rPr>
              <w:t>□</w:t>
            </w:r>
            <w:r>
              <w:rPr>
                <w:rFonts w:hint="default" w:ascii="宋体" w:hAnsi="宋体"/>
                <w:b/>
                <w:bCs/>
                <w:color w:val="auto"/>
                <w:sz w:val="21"/>
                <w:szCs w:val="21"/>
              </w:rPr>
              <w:t xml:space="preserve">联合体   </w:t>
            </w:r>
            <w:r>
              <w:rPr>
                <w:rFonts w:hint="default" w:ascii="宋体" w:hAnsi="宋体"/>
                <w:b/>
                <w:color w:val="auto"/>
                <w:sz w:val="21"/>
                <w:szCs w:val="21"/>
              </w:rPr>
              <w:t>□</w:t>
            </w:r>
            <w:r>
              <w:rPr>
                <w:rFonts w:hint="default" w:ascii="宋体" w:hAnsi="宋体"/>
                <w:b/>
                <w:bCs/>
                <w:color w:val="auto"/>
                <w:sz w:val="21"/>
                <w:szCs w:val="21"/>
              </w:rPr>
              <w:t>独立法人实体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1" w:hRule="atLeast"/>
          <w:jc w:val="center"/>
        </w:trPr>
        <w:tc>
          <w:tcPr>
            <w:tcW w:w="1696"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b/>
                <w:bCs/>
                <w:color w:val="auto"/>
                <w:szCs w:val="21"/>
              </w:rPr>
            </w:pPr>
            <w:r>
              <w:rPr>
                <w:rFonts w:hint="eastAsia" w:ascii="宋体" w:hAnsi="宋体"/>
                <w:b/>
                <w:bCs/>
                <w:color w:val="auto"/>
                <w:sz w:val="21"/>
                <w:szCs w:val="21"/>
              </w:rPr>
              <w:t>牵头人</w:t>
            </w:r>
            <w:r>
              <w:rPr>
                <w:rFonts w:hint="default" w:ascii="宋体" w:hAnsi="宋体"/>
                <w:b/>
                <w:bCs/>
                <w:color w:val="auto"/>
                <w:sz w:val="21"/>
                <w:szCs w:val="21"/>
              </w:rPr>
              <w:t>名称</w:t>
            </w:r>
          </w:p>
        </w:tc>
        <w:tc>
          <w:tcPr>
            <w:tcW w:w="7951" w:type="dxa"/>
            <w:gridSpan w:val="9"/>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2"/>
              <w:jc w:val="center"/>
              <w:textAlignment w:val="auto"/>
              <w:rPr>
                <w:rFonts w:hint="default"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3" w:hRule="atLeast"/>
          <w:jc w:val="center"/>
        </w:trPr>
        <w:tc>
          <w:tcPr>
            <w:tcW w:w="1696"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b/>
                <w:bCs/>
                <w:color w:val="auto"/>
                <w:szCs w:val="21"/>
              </w:rPr>
            </w:pPr>
            <w:r>
              <w:rPr>
                <w:rFonts w:hint="eastAsia" w:ascii="宋体" w:hAnsi="宋体"/>
                <w:b/>
                <w:bCs/>
                <w:color w:val="auto"/>
                <w:sz w:val="21"/>
                <w:szCs w:val="21"/>
              </w:rPr>
              <w:t>成员公司名称</w:t>
            </w:r>
          </w:p>
        </w:tc>
        <w:tc>
          <w:tcPr>
            <w:tcW w:w="7951" w:type="dxa"/>
            <w:gridSpan w:val="9"/>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2"/>
              <w:jc w:val="center"/>
              <w:textAlignment w:val="auto"/>
              <w:rPr>
                <w:rFonts w:hint="default"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797" w:type="dxa"/>
            <w:vMerge w:val="restart"/>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color w:val="auto"/>
                <w:szCs w:val="21"/>
              </w:rPr>
            </w:pPr>
            <w:r>
              <w:rPr>
                <w:rFonts w:hint="default" w:ascii="宋体" w:hAnsi="宋体"/>
                <w:color w:val="auto"/>
                <w:szCs w:val="21"/>
              </w:rPr>
              <w:t>项目经验案例记录</w:t>
            </w:r>
          </w:p>
        </w:tc>
        <w:tc>
          <w:tcPr>
            <w:tcW w:w="1352"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color w:val="auto"/>
                <w:szCs w:val="21"/>
              </w:rPr>
            </w:pPr>
            <w:r>
              <w:rPr>
                <w:rFonts w:hint="default" w:ascii="宋体" w:hAnsi="宋体"/>
                <w:color w:val="auto"/>
                <w:szCs w:val="21"/>
              </w:rPr>
              <w:t>项目名称</w:t>
            </w:r>
          </w:p>
        </w:tc>
        <w:tc>
          <w:tcPr>
            <w:tcW w:w="119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color w:val="auto"/>
                <w:szCs w:val="21"/>
              </w:rPr>
            </w:pPr>
            <w:r>
              <w:rPr>
                <w:rFonts w:hint="eastAsia" w:ascii="宋体" w:hAnsi="宋体"/>
                <w:color w:val="auto"/>
                <w:szCs w:val="21"/>
              </w:rPr>
              <w:t>投资总额</w:t>
            </w:r>
          </w:p>
        </w:tc>
        <w:tc>
          <w:tcPr>
            <w:tcW w:w="1043"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color w:val="auto"/>
                <w:sz w:val="21"/>
                <w:szCs w:val="21"/>
              </w:rPr>
            </w:pPr>
            <w:r>
              <w:rPr>
                <w:rFonts w:hint="eastAsia" w:ascii="宋体" w:hAnsi="宋体"/>
                <w:color w:val="auto"/>
                <w:sz w:val="21"/>
                <w:szCs w:val="21"/>
              </w:rPr>
              <w:t>主要运营指标（运行模式）</w:t>
            </w:r>
          </w:p>
        </w:tc>
        <w:tc>
          <w:tcPr>
            <w:tcW w:w="121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color w:val="auto"/>
                <w:szCs w:val="21"/>
              </w:rPr>
            </w:pPr>
            <w:r>
              <w:rPr>
                <w:rFonts w:hint="eastAsia" w:ascii="宋体" w:hAnsi="宋体"/>
                <w:color w:val="auto"/>
                <w:szCs w:val="21"/>
              </w:rPr>
              <w:t>承担内容（投资或建设或运营）</w:t>
            </w:r>
          </w:p>
        </w:tc>
        <w:tc>
          <w:tcPr>
            <w:tcW w:w="85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color w:val="auto"/>
                <w:szCs w:val="21"/>
              </w:rPr>
            </w:pPr>
            <w:r>
              <w:rPr>
                <w:rFonts w:hint="eastAsia" w:ascii="宋体" w:hAnsi="宋体"/>
                <w:color w:val="auto"/>
                <w:szCs w:val="21"/>
              </w:rPr>
              <w:t>开竣工</w:t>
            </w:r>
            <w:r>
              <w:rPr>
                <w:rFonts w:hint="default" w:ascii="宋体" w:hAnsi="宋体"/>
                <w:color w:val="auto"/>
                <w:szCs w:val="21"/>
              </w:rPr>
              <w:t>时间</w:t>
            </w:r>
          </w:p>
        </w:tc>
        <w:tc>
          <w:tcPr>
            <w:tcW w:w="870"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color w:val="auto"/>
                <w:szCs w:val="21"/>
              </w:rPr>
            </w:pPr>
            <w:r>
              <w:rPr>
                <w:rFonts w:hint="default" w:ascii="宋体" w:hAnsi="宋体"/>
                <w:color w:val="auto"/>
                <w:szCs w:val="21"/>
              </w:rPr>
              <w:t>项目现状</w:t>
            </w:r>
          </w:p>
        </w:tc>
        <w:tc>
          <w:tcPr>
            <w:tcW w:w="150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color w:val="auto"/>
                <w:szCs w:val="21"/>
              </w:rPr>
            </w:pPr>
            <w:r>
              <w:rPr>
                <w:rFonts w:hint="eastAsia" w:ascii="宋体" w:hAnsi="宋体"/>
                <w:color w:val="auto"/>
                <w:szCs w:val="21"/>
              </w:rPr>
              <w:t>采购人名称及联系方式</w:t>
            </w:r>
          </w:p>
        </w:tc>
        <w:tc>
          <w:tcPr>
            <w:tcW w:w="82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0" w:firstLineChars="0"/>
              <w:jc w:val="center"/>
              <w:textAlignment w:val="auto"/>
              <w:rPr>
                <w:rFonts w:hint="default"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797" w:type="dxa"/>
            <w:vMerge w:val="continue"/>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352"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19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043"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21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5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70"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50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2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797" w:type="dxa"/>
            <w:vMerge w:val="continue"/>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352"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19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043"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21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5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70"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50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2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797" w:type="dxa"/>
            <w:vMerge w:val="continue"/>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352"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19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043"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21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5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70"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50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2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797" w:type="dxa"/>
            <w:vMerge w:val="continue"/>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352"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19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043"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21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5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70"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50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2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797" w:type="dxa"/>
            <w:vMerge w:val="continue"/>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352"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19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043"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21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5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70"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50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2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797" w:type="dxa"/>
            <w:vMerge w:val="continue"/>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352"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19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043"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21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5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70" w:type="dxa"/>
            <w:gridSpan w:val="2"/>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1500"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c>
          <w:tcPr>
            <w:tcW w:w="825" w:type="dxa"/>
            <w:vAlign w:val="center"/>
          </w:tcPr>
          <w:p>
            <w:pPr>
              <w:keepNext w:val="0"/>
              <w:keepLines w:val="0"/>
              <w:pageBreakBefore w:val="0"/>
              <w:suppressLineNumbers w:val="0"/>
              <w:kinsoku/>
              <w:bidi w:val="0"/>
              <w:spacing w:before="62" w:beforeLines="20" w:beforeAutospacing="0" w:after="62" w:afterLines="20" w:afterAutospacing="0" w:line="360" w:lineRule="auto"/>
              <w:ind w:left="0" w:right="0" w:firstLine="480"/>
              <w:jc w:val="center"/>
              <w:textAlignment w:val="auto"/>
              <w:rPr>
                <w:rFonts w:hint="default" w:ascii="宋体" w:hAnsi="宋体"/>
                <w:color w:val="auto"/>
                <w:szCs w:val="21"/>
              </w:rPr>
            </w:pPr>
          </w:p>
        </w:tc>
      </w:tr>
    </w:tbl>
    <w:p>
      <w:pPr>
        <w:pageBreakBefore w:val="0"/>
        <w:kinsoku/>
        <w:bidi w:val="0"/>
        <w:spacing w:line="360" w:lineRule="auto"/>
        <w:ind w:firstLine="0" w:firstLineChars="0"/>
        <w:textAlignment w:val="auto"/>
        <w:rPr>
          <w:color w:val="auto"/>
        </w:rPr>
      </w:pPr>
    </w:p>
    <w:p>
      <w:pPr>
        <w:pStyle w:val="2"/>
        <w:rPr>
          <w:color w:val="auto"/>
        </w:rPr>
      </w:pPr>
    </w:p>
    <w:p>
      <w:pPr>
        <w:pStyle w:val="5"/>
        <w:rPr>
          <w:color w:val="auto"/>
        </w:rPr>
      </w:pPr>
    </w:p>
    <w:p>
      <w:pPr>
        <w:pStyle w:val="5"/>
        <w:rPr>
          <w:color w:val="auto"/>
        </w:rPr>
      </w:pPr>
    </w:p>
    <w:p>
      <w:pPr>
        <w:pStyle w:val="59"/>
        <w:pageBreakBefore w:val="0"/>
        <w:numPr>
          <w:ilvl w:val="0"/>
          <w:numId w:val="4"/>
        </w:numPr>
        <w:kinsoku/>
        <w:bidi w:val="0"/>
        <w:spacing w:line="360" w:lineRule="auto"/>
        <w:jc w:val="center"/>
        <w:textAlignment w:val="auto"/>
        <w:rPr>
          <w:b/>
          <w:color w:val="auto"/>
        </w:rPr>
      </w:pPr>
      <w:bookmarkStart w:id="139" w:name="_Toc437271315"/>
      <w:r>
        <w:rPr>
          <w:rFonts w:hint="eastAsia"/>
          <w:b/>
          <w:color w:val="auto"/>
        </w:rPr>
        <w:t>近年发生的诉讼及仲裁情况</w:t>
      </w:r>
      <w:bookmarkEnd w:id="139"/>
    </w:p>
    <w:p>
      <w:pPr>
        <w:pageBreakBefore w:val="0"/>
        <w:kinsoku/>
        <w:bidi w:val="0"/>
        <w:spacing w:line="360" w:lineRule="auto"/>
        <w:ind w:firstLine="480"/>
        <w:jc w:val="center"/>
        <w:textAlignment w:val="auto"/>
        <w:rPr>
          <w:color w:val="auto"/>
        </w:rPr>
      </w:pPr>
      <w:r>
        <w:rPr>
          <w:rFonts w:hint="eastAsia"/>
          <w:color w:val="auto"/>
        </w:rPr>
        <w:t>附表：重大诉讼、仲裁、行政处罚列表</w:t>
      </w:r>
    </w:p>
    <w:tbl>
      <w:tblPr>
        <w:tblStyle w:val="4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134"/>
        <w:gridCol w:w="3260"/>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年份</w:t>
            </w:r>
          </w:p>
        </w:tc>
        <w:tc>
          <w:tcPr>
            <w:tcW w:w="1559"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胜诉或败诉或正在进行中</w:t>
            </w:r>
          </w:p>
        </w:tc>
        <w:tc>
          <w:tcPr>
            <w:tcW w:w="1134"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审理或</w:t>
            </w:r>
          </w:p>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裁判机关</w:t>
            </w:r>
          </w:p>
        </w:tc>
        <w:tc>
          <w:tcPr>
            <w:tcW w:w="3260"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当事人名称、诉因、争议事项</w:t>
            </w:r>
          </w:p>
        </w:tc>
        <w:tc>
          <w:tcPr>
            <w:tcW w:w="1921" w:type="dxa"/>
            <w:vAlign w:val="center"/>
          </w:tcPr>
          <w:p>
            <w:pPr>
              <w:keepNext w:val="0"/>
              <w:keepLines w:val="0"/>
              <w:pageBreakBefore w:val="0"/>
              <w:suppressLineNumbers w:val="0"/>
              <w:kinsoku/>
              <w:bidi w:val="0"/>
              <w:spacing w:before="0" w:beforeAutospacing="0" w:after="0" w:afterAutospacing="0" w:line="360" w:lineRule="auto"/>
              <w:ind w:left="0" w:right="0" w:firstLine="0" w:firstLineChars="0"/>
              <w:jc w:val="center"/>
              <w:textAlignment w:val="auto"/>
              <w:rPr>
                <w:rFonts w:hint="default"/>
                <w:color w:val="auto"/>
                <w:sz w:val="21"/>
                <w:szCs w:val="21"/>
              </w:rPr>
            </w:pPr>
            <w:r>
              <w:rPr>
                <w:rFonts w:hint="eastAsia"/>
                <w:color w:val="auto"/>
                <w:sz w:val="21"/>
                <w:szCs w:val="21"/>
              </w:rPr>
              <w:t>争议金额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13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326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92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13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326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92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13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326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92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13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326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92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13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326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92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13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326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92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559"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134"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3260"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c>
          <w:tcPr>
            <w:tcW w:w="1921" w:type="dxa"/>
          </w:tcPr>
          <w:p>
            <w:pPr>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default"/>
                <w:color w:val="auto"/>
                <w:sz w:val="21"/>
                <w:szCs w:val="21"/>
              </w:rPr>
            </w:pPr>
          </w:p>
        </w:tc>
      </w:tr>
    </w:tbl>
    <w:p>
      <w:pPr>
        <w:pageBreakBefore w:val="0"/>
        <w:kinsoku/>
        <w:bidi w:val="0"/>
        <w:spacing w:line="360" w:lineRule="auto"/>
        <w:ind w:firstLine="480"/>
        <w:textAlignment w:val="auto"/>
        <w:rPr>
          <w:color w:val="auto"/>
        </w:rPr>
      </w:pPr>
      <w:r>
        <w:rPr>
          <w:rFonts w:hint="eastAsia"/>
          <w:color w:val="auto"/>
        </w:rPr>
        <w:t>注：投标人应提供资格预审公告发布之日起前</w:t>
      </w:r>
      <w:r>
        <w:rPr>
          <w:rFonts w:hint="eastAsia"/>
          <w:color w:val="auto"/>
          <w:lang w:val="en-US" w:eastAsia="zh-CN"/>
        </w:rPr>
        <w:t>三</w:t>
      </w:r>
      <w:r>
        <w:rPr>
          <w:rFonts w:hint="eastAsia"/>
          <w:color w:val="auto"/>
        </w:rPr>
        <w:t>（</w:t>
      </w:r>
      <w:r>
        <w:rPr>
          <w:rFonts w:hint="eastAsia"/>
          <w:color w:val="auto"/>
          <w:lang w:val="en-US" w:eastAsia="zh-CN"/>
        </w:rPr>
        <w:t>3</w:t>
      </w:r>
      <w:r>
        <w:rPr>
          <w:rFonts w:hint="eastAsia"/>
          <w:color w:val="auto"/>
        </w:rPr>
        <w:t>）年内已经结束或正在履行的合同引起的重大诉讼、仲裁、行政处罚信息。联合体的牵头人和成员公司应分别填写。</w:t>
      </w:r>
    </w:p>
    <w:p>
      <w:pPr>
        <w:pageBreakBefore w:val="0"/>
        <w:kinsoku/>
        <w:bidi w:val="0"/>
        <w:spacing w:line="360" w:lineRule="auto"/>
        <w:ind w:firstLine="480"/>
        <w:textAlignment w:val="auto"/>
        <w:rPr>
          <w:color w:val="auto"/>
        </w:rPr>
      </w:pPr>
      <w:r>
        <w:rPr>
          <w:rFonts w:hint="eastAsia"/>
          <w:color w:val="auto"/>
        </w:rPr>
        <w:t>应说明相关情况，并附法院或仲裁机构作出的判决、裁决等有关法律文件的复印件。</w:t>
      </w:r>
    </w:p>
    <w:p>
      <w:pPr>
        <w:pageBreakBefore w:val="0"/>
        <w:kinsoku/>
        <w:bidi w:val="0"/>
        <w:spacing w:line="360" w:lineRule="auto"/>
        <w:ind w:firstLine="480"/>
        <w:textAlignment w:val="auto"/>
        <w:rPr>
          <w:color w:val="auto"/>
        </w:rPr>
      </w:pPr>
    </w:p>
    <w:p>
      <w:pPr>
        <w:pageBreakBefore w:val="0"/>
        <w:kinsoku/>
        <w:bidi w:val="0"/>
        <w:spacing w:line="360" w:lineRule="auto"/>
        <w:ind w:firstLine="480"/>
        <w:textAlignment w:val="auto"/>
        <w:rPr>
          <w:color w:val="auto"/>
        </w:rPr>
      </w:pPr>
    </w:p>
    <w:p>
      <w:pPr>
        <w:pageBreakBefore w:val="0"/>
        <w:kinsoku/>
        <w:bidi w:val="0"/>
        <w:spacing w:line="360" w:lineRule="auto"/>
        <w:ind w:firstLine="480"/>
        <w:textAlignment w:val="auto"/>
        <w:rPr>
          <w:color w:val="auto"/>
        </w:rPr>
      </w:pPr>
    </w:p>
    <w:p>
      <w:pPr>
        <w:pageBreakBefore w:val="0"/>
        <w:kinsoku/>
        <w:bidi w:val="0"/>
        <w:spacing w:line="360" w:lineRule="auto"/>
        <w:ind w:firstLine="480"/>
        <w:textAlignment w:val="auto"/>
        <w:rPr>
          <w:color w:val="auto"/>
        </w:rPr>
      </w:pPr>
    </w:p>
    <w:p>
      <w:pPr>
        <w:pageBreakBefore w:val="0"/>
        <w:kinsoku/>
        <w:bidi w:val="0"/>
        <w:spacing w:line="360" w:lineRule="auto"/>
        <w:ind w:firstLine="480"/>
        <w:textAlignment w:val="auto"/>
        <w:rPr>
          <w:color w:val="auto"/>
        </w:rPr>
      </w:pPr>
      <w:r>
        <w:rPr>
          <w:color w:val="auto"/>
        </w:rPr>
        <w:br w:type="page"/>
      </w:r>
    </w:p>
    <w:p>
      <w:pPr>
        <w:pStyle w:val="58"/>
        <w:pageBreakBefore w:val="0"/>
        <w:numPr>
          <w:ilvl w:val="0"/>
          <w:numId w:val="0"/>
        </w:numPr>
        <w:kinsoku/>
        <w:bidi w:val="0"/>
        <w:spacing w:line="360" w:lineRule="auto"/>
        <w:ind w:left="576"/>
        <w:jc w:val="center"/>
        <w:textAlignment w:val="auto"/>
        <w:rPr>
          <w:color w:val="auto"/>
        </w:rPr>
      </w:pPr>
      <w:bookmarkStart w:id="140" w:name="_Toc437271316"/>
      <w:r>
        <w:rPr>
          <w:rFonts w:hint="eastAsia"/>
          <w:color w:val="auto"/>
        </w:rPr>
        <w:t>十</w:t>
      </w:r>
      <w:r>
        <w:rPr>
          <w:rFonts w:hint="eastAsia"/>
          <w:color w:val="auto"/>
          <w:lang w:val="en-US" w:eastAsia="zh-CN"/>
        </w:rPr>
        <w:t>一</w:t>
      </w:r>
      <w:r>
        <w:rPr>
          <w:rFonts w:hint="eastAsia"/>
          <w:color w:val="auto"/>
        </w:rPr>
        <w:t>、投标人拟定的项目</w:t>
      </w:r>
      <w:bookmarkEnd w:id="140"/>
      <w:r>
        <w:rPr>
          <w:rFonts w:hint="eastAsia"/>
          <w:color w:val="auto"/>
          <w:lang w:val="en-US" w:eastAsia="zh-CN"/>
        </w:rPr>
        <w:t>实施方案</w:t>
      </w:r>
    </w:p>
    <w:p>
      <w:pPr>
        <w:pageBreakBefore w:val="0"/>
        <w:kinsoku/>
        <w:bidi w:val="0"/>
        <w:spacing w:line="360" w:lineRule="auto"/>
        <w:ind w:left="0" w:leftChars="0" w:firstLine="0" w:firstLineChars="0"/>
        <w:jc w:val="both"/>
        <w:textAlignment w:val="auto"/>
        <w:rPr>
          <w:rFonts w:hint="eastAsia"/>
          <w:color w:val="auto"/>
          <w:lang w:val="en-US" w:eastAsia="zh-CN"/>
        </w:rPr>
      </w:pPr>
      <w:r>
        <w:rPr>
          <w:rFonts w:hint="eastAsia"/>
          <w:color w:val="auto"/>
          <w:lang w:val="en-US" w:eastAsia="zh-CN"/>
        </w:rPr>
        <w:t>投标人拟定的项目实施方案中应包含但不限于以下内容：</w:t>
      </w:r>
    </w:p>
    <w:p>
      <w:pPr>
        <w:pStyle w:val="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1、项目公司组建方案</w:t>
      </w:r>
    </w:p>
    <w:p>
      <w:pPr>
        <w:pStyle w:val="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2、项目建设管理方案</w:t>
      </w:r>
    </w:p>
    <w:p>
      <w:pPr>
        <w:pStyle w:val="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3、运营维护方案</w:t>
      </w:r>
    </w:p>
    <w:p>
      <w:pPr>
        <w:pStyle w:val="5"/>
        <w:rPr>
          <w:rFonts w:hint="eastAsia" w:ascii="宋体" w:hAnsi="宋体" w:eastAsia="宋体" w:cs="宋体"/>
          <w:color w:val="auto"/>
          <w:lang w:val="en-US" w:eastAsia="zh-CN"/>
        </w:rPr>
      </w:pPr>
      <w:r>
        <w:rPr>
          <w:rFonts w:hint="eastAsia" w:ascii="宋体" w:hAnsi="宋体" w:eastAsia="宋体" w:cs="宋体"/>
          <w:color w:val="auto"/>
          <w:lang w:val="en-US" w:eastAsia="zh-CN"/>
        </w:rPr>
        <w:t>4、项目设施移交方案</w:t>
      </w:r>
    </w:p>
    <w:p>
      <w:pPr>
        <w:pStyle w:val="5"/>
        <w:rPr>
          <w:rFonts w:hint="eastAsia" w:ascii="宋体" w:hAnsi="宋体" w:eastAsia="宋体" w:cs="宋体"/>
          <w:color w:val="auto"/>
          <w:lang w:val="en-US" w:eastAsia="zh-CN"/>
        </w:rPr>
      </w:pPr>
      <w:r>
        <w:rPr>
          <w:rFonts w:hint="eastAsia" w:ascii="宋体" w:hAnsi="宋体" w:eastAsia="宋体" w:cs="宋体"/>
          <w:color w:val="auto"/>
          <w:lang w:val="en-US" w:eastAsia="zh-CN"/>
        </w:rPr>
        <w:t>5、协调与配合措施</w:t>
      </w:r>
    </w:p>
    <w:p>
      <w:pPr>
        <w:pStyle w:val="5"/>
        <w:rPr>
          <w:rFonts w:hint="eastAsia" w:ascii="宋体" w:hAnsi="宋体" w:eastAsia="宋体" w:cs="宋体"/>
          <w:color w:val="auto"/>
          <w:lang w:val="en-US" w:eastAsia="zh-CN"/>
        </w:rPr>
      </w:pPr>
      <w:r>
        <w:rPr>
          <w:rFonts w:hint="eastAsia" w:ascii="宋体" w:hAnsi="宋体" w:eastAsia="宋体" w:cs="宋体"/>
          <w:color w:val="auto"/>
          <w:lang w:val="en-US" w:eastAsia="zh-CN"/>
        </w:rPr>
        <w:t>6、建设和运营期的服务承诺</w:t>
      </w:r>
    </w:p>
    <w:p>
      <w:pPr>
        <w:pStyle w:val="5"/>
        <w:rPr>
          <w:rFonts w:hint="eastAsia" w:ascii="宋体" w:hAnsi="宋体" w:eastAsia="宋体" w:cs="宋体"/>
          <w:color w:val="auto"/>
          <w:lang w:val="en-US" w:eastAsia="zh-CN"/>
        </w:rPr>
      </w:pPr>
      <w:r>
        <w:rPr>
          <w:rFonts w:hint="eastAsia" w:ascii="宋体" w:hAnsi="宋体" w:eastAsia="宋体" w:cs="宋体"/>
          <w:color w:val="auto"/>
          <w:lang w:val="en-US" w:eastAsia="zh-CN"/>
        </w:rPr>
        <w:t>7、财务方案</w:t>
      </w:r>
    </w:p>
    <w:p>
      <w:pPr>
        <w:pStyle w:val="5"/>
        <w:rPr>
          <w:rFonts w:hint="eastAsia" w:ascii="宋体" w:hAnsi="宋体" w:eastAsia="宋体" w:cs="宋体"/>
          <w:color w:val="auto"/>
          <w:lang w:val="en-US" w:eastAsia="zh-CN"/>
        </w:rPr>
      </w:pPr>
      <w:r>
        <w:rPr>
          <w:rFonts w:hint="eastAsia" w:ascii="宋体" w:hAnsi="宋体" w:eastAsia="宋体" w:cs="宋体"/>
          <w:color w:val="auto"/>
          <w:lang w:val="en-US" w:eastAsia="zh-CN"/>
        </w:rPr>
        <w:t>8、投标人认为应附的其他内容</w:t>
      </w:r>
    </w:p>
    <w:p>
      <w:pPr>
        <w:pageBreakBefore w:val="0"/>
        <w:kinsoku/>
        <w:wordWrap w:val="0"/>
        <w:bidi w:val="0"/>
        <w:spacing w:line="360" w:lineRule="auto"/>
        <w:ind w:firstLine="480"/>
        <w:jc w:val="right"/>
        <w:textAlignment w:val="auto"/>
        <w:rPr>
          <w:color w:val="auto"/>
        </w:rPr>
      </w:pPr>
      <w:r>
        <w:rPr>
          <w:rFonts w:hint="eastAsia"/>
          <w:color w:val="auto"/>
        </w:rPr>
        <w:t>投标人：_____________________(盖单位章)</w:t>
      </w:r>
    </w:p>
    <w:p>
      <w:pPr>
        <w:pageBreakBefore w:val="0"/>
        <w:kinsoku/>
        <w:bidi w:val="0"/>
        <w:spacing w:line="360" w:lineRule="auto"/>
        <w:ind w:firstLine="480"/>
        <w:jc w:val="right"/>
        <w:textAlignment w:val="auto"/>
        <w:rPr>
          <w:color w:val="auto"/>
        </w:rPr>
      </w:pPr>
      <w:r>
        <w:rPr>
          <w:rFonts w:hint="eastAsia"/>
          <w:color w:val="auto"/>
        </w:rPr>
        <w:t>法定代表人或其委托代理人：____________(签字)</w:t>
      </w:r>
    </w:p>
    <w:p>
      <w:pPr>
        <w:pageBreakBefore w:val="0"/>
        <w:kinsoku/>
        <w:bidi w:val="0"/>
        <w:spacing w:line="360" w:lineRule="auto"/>
        <w:ind w:firstLine="480"/>
        <w:jc w:val="right"/>
        <w:textAlignment w:val="auto"/>
        <w:rPr>
          <w:color w:val="auto"/>
        </w:rPr>
      </w:pPr>
      <w:r>
        <w:rPr>
          <w:rFonts w:hint="eastAsia"/>
          <w:color w:val="auto"/>
        </w:rPr>
        <w:t>__________年_________月_________日</w:t>
      </w:r>
    </w:p>
    <w:p>
      <w:pPr>
        <w:pageBreakBefore w:val="0"/>
        <w:kinsoku/>
        <w:bidi w:val="0"/>
        <w:spacing w:line="360" w:lineRule="auto"/>
        <w:ind w:firstLine="480"/>
        <w:textAlignment w:val="auto"/>
        <w:rPr>
          <w:color w:val="FF0000"/>
        </w:rPr>
      </w:pPr>
      <w:r>
        <w:rPr>
          <w:color w:val="FF0000"/>
        </w:rPr>
        <w:t> </w:t>
      </w:r>
    </w:p>
    <w:p>
      <w:pPr>
        <w:pageBreakBefore w:val="0"/>
        <w:kinsoku/>
        <w:bidi w:val="0"/>
        <w:spacing w:line="360" w:lineRule="auto"/>
        <w:ind w:firstLine="480"/>
        <w:textAlignment w:val="auto"/>
        <w:rPr>
          <w:color w:val="FF0000"/>
        </w:rPr>
      </w:pPr>
      <w:r>
        <w:rPr>
          <w:color w:val="FF0000"/>
        </w:rPr>
        <w:br w:type="page"/>
      </w:r>
    </w:p>
    <w:p>
      <w:pPr>
        <w:pStyle w:val="58"/>
        <w:pageBreakBefore w:val="0"/>
        <w:numPr>
          <w:ilvl w:val="0"/>
          <w:numId w:val="0"/>
        </w:numPr>
        <w:kinsoku/>
        <w:bidi w:val="0"/>
        <w:spacing w:line="360" w:lineRule="auto"/>
        <w:ind w:left="576"/>
        <w:jc w:val="center"/>
        <w:textAlignment w:val="auto"/>
      </w:pPr>
      <w:bookmarkStart w:id="141" w:name="_Toc437271322"/>
      <w:r>
        <w:rPr>
          <w:rFonts w:hint="eastAsia"/>
        </w:rPr>
        <w:t>十</w:t>
      </w:r>
      <w:r>
        <w:rPr>
          <w:rFonts w:hint="eastAsia"/>
          <w:lang w:val="en-US" w:eastAsia="zh-CN"/>
        </w:rPr>
        <w:t>二</w:t>
      </w:r>
      <w:r>
        <w:rPr>
          <w:rFonts w:hint="eastAsia"/>
        </w:rPr>
        <w:t>、声明函</w:t>
      </w:r>
      <w:bookmarkEnd w:id="141"/>
    </w:p>
    <w:p>
      <w:pPr>
        <w:pageBreakBefore w:val="0"/>
        <w:kinsoku/>
        <w:bidi w:val="0"/>
        <w:spacing w:line="360" w:lineRule="auto"/>
        <w:ind w:firstLine="480"/>
        <w:textAlignment w:val="auto"/>
      </w:pPr>
      <w:r>
        <w:rPr>
          <w:rFonts w:hint="eastAsia"/>
        </w:rPr>
        <w:t>投标人已收到《</w:t>
      </w:r>
      <w:r>
        <w:rPr>
          <w:rFonts w:hint="eastAsia"/>
          <w:lang w:eastAsia="zh-CN"/>
        </w:rPr>
        <w:t>登封市环嵩山旅游公路改建工程PPP项目</w:t>
      </w:r>
      <w:r>
        <w:rPr>
          <w:rFonts w:hint="eastAsia"/>
        </w:rPr>
        <w:t>招标文件》，对招标文件的合法性、完整性均无异议。</w:t>
      </w:r>
    </w:p>
    <w:p>
      <w:pPr>
        <w:pageBreakBefore w:val="0"/>
        <w:kinsoku/>
        <w:bidi w:val="0"/>
        <w:spacing w:line="360" w:lineRule="auto"/>
        <w:ind w:firstLine="480"/>
        <w:textAlignment w:val="auto"/>
      </w:pPr>
      <w:r>
        <w:rPr>
          <w:rFonts w:hint="eastAsia"/>
        </w:rPr>
        <w:t>投标人在此声明并保证如下：</w:t>
      </w:r>
    </w:p>
    <w:p>
      <w:pPr>
        <w:pageBreakBefore w:val="0"/>
        <w:kinsoku/>
        <w:bidi w:val="0"/>
        <w:spacing w:line="360" w:lineRule="auto"/>
        <w:ind w:firstLine="480"/>
        <w:textAlignment w:val="auto"/>
      </w:pPr>
      <w:r>
        <w:rPr>
          <w:rFonts w:hint="eastAsia"/>
        </w:rPr>
        <w:t>投标人是依法成立、注册并有效存续的独立法人，其主体资格不存在法律瑕疵。</w:t>
      </w:r>
    </w:p>
    <w:p>
      <w:pPr>
        <w:pageBreakBefore w:val="0"/>
        <w:kinsoku/>
        <w:bidi w:val="0"/>
        <w:spacing w:line="360" w:lineRule="auto"/>
        <w:ind w:firstLine="480"/>
        <w:textAlignment w:val="auto"/>
      </w:pPr>
      <w:r>
        <w:rPr>
          <w:rFonts w:hint="eastAsia"/>
        </w:rPr>
        <w:t>投标人的投标行为不违反公司章程和相关协议的约定，获得了公司董事会的合法授权，其投标行为是其真实的意思表示。</w:t>
      </w:r>
    </w:p>
    <w:p>
      <w:pPr>
        <w:pageBreakBefore w:val="0"/>
        <w:kinsoku/>
        <w:bidi w:val="0"/>
        <w:spacing w:line="360" w:lineRule="auto"/>
        <w:ind w:firstLine="480"/>
        <w:textAlignment w:val="auto"/>
      </w:pPr>
      <w:r>
        <w:rPr>
          <w:rFonts w:hint="eastAsia"/>
        </w:rPr>
        <w:t>投标人的投标文件上的签字、盖章均是真实、合法、有效的且已获得公司完整、合法的授权。</w:t>
      </w:r>
    </w:p>
    <w:p>
      <w:pPr>
        <w:pageBreakBefore w:val="0"/>
        <w:kinsoku/>
        <w:bidi w:val="0"/>
        <w:spacing w:line="360" w:lineRule="auto"/>
        <w:ind w:firstLine="480"/>
        <w:textAlignment w:val="auto"/>
      </w:pPr>
      <w:r>
        <w:rPr>
          <w:rFonts w:hint="eastAsia"/>
        </w:rPr>
        <w:t>投标人提供了第二章《投标人须知》</w:t>
      </w:r>
      <w:r>
        <w:fldChar w:fldCharType="begin"/>
      </w:r>
      <w:r>
        <w:instrText xml:space="preserve"> </w:instrText>
      </w:r>
      <w:r>
        <w:rPr>
          <w:rFonts w:hint="eastAsia"/>
        </w:rPr>
        <w:instrText xml:space="preserve">REF _Ref435905074 \r \h</w:instrText>
      </w:r>
      <w:r>
        <w:instrText xml:space="preserve"> </w:instrText>
      </w:r>
      <w:r>
        <w:fldChar w:fldCharType="separate"/>
      </w:r>
      <w:r>
        <w:rPr>
          <w:rFonts w:hint="eastAsia"/>
        </w:rPr>
        <w:t xml:space="preserve"> 3.2</w:t>
      </w:r>
      <w:r>
        <w:fldChar w:fldCharType="end"/>
      </w:r>
      <w:r>
        <w:rPr>
          <w:rFonts w:hint="eastAsia"/>
        </w:rPr>
        <w:t>条中所要求的全部资料，并声明和保证在本次投标过程中其所提供、披露的全部资料和信息均为真实的、准确和完整的。如因其提供的资料和信息不真实、不准确，投标人将对由此产生的一切损失承担全部责任。</w:t>
      </w:r>
    </w:p>
    <w:p>
      <w:pPr>
        <w:pageBreakBefore w:val="0"/>
        <w:kinsoku/>
        <w:bidi w:val="0"/>
        <w:spacing w:line="360" w:lineRule="auto"/>
        <w:ind w:firstLine="480"/>
        <w:textAlignment w:val="auto"/>
      </w:pPr>
      <w:r>
        <w:rPr>
          <w:rFonts w:hint="eastAsia"/>
        </w:rPr>
        <w:t>在资格预审公告发布之日起前</w:t>
      </w:r>
      <w:r>
        <w:rPr>
          <w:rFonts w:hint="eastAsia"/>
          <w:lang w:val="en-US" w:eastAsia="zh-CN"/>
        </w:rPr>
        <w:t>三</w:t>
      </w:r>
      <w:r>
        <w:rPr>
          <w:rFonts w:hint="eastAsia"/>
        </w:rPr>
        <w:t>（</w:t>
      </w:r>
      <w:r>
        <w:rPr>
          <w:rFonts w:hint="eastAsia"/>
          <w:lang w:val="en-US" w:eastAsia="zh-CN"/>
        </w:rPr>
        <w:t>3</w:t>
      </w:r>
      <w:r>
        <w:rPr>
          <w:rFonts w:hint="eastAsia"/>
        </w:rPr>
        <w:t>）年内，投标人发生的重大诉讼、仲裁、行政处罚如声明函附件所列。在资格预审公告发布之日起前</w:t>
      </w:r>
      <w:r>
        <w:rPr>
          <w:rFonts w:hint="eastAsia"/>
          <w:lang w:val="en-US" w:eastAsia="zh-CN"/>
        </w:rPr>
        <w:t>三</w:t>
      </w:r>
      <w:r>
        <w:rPr>
          <w:rFonts w:hint="eastAsia"/>
        </w:rPr>
        <w:t>（</w:t>
      </w:r>
      <w:r>
        <w:rPr>
          <w:rFonts w:hint="eastAsia"/>
          <w:lang w:val="en-US" w:eastAsia="zh-CN"/>
        </w:rPr>
        <w:t>3</w:t>
      </w:r>
      <w:r>
        <w:rPr>
          <w:rFonts w:hint="eastAsia"/>
        </w:rPr>
        <w:t>）年内，投标人没有因为任何直接由于自己的过失或疏忽，而在任何大型合同中严重违约、被逐出现场或被解除协议。在资格预审公告发布之日起前</w:t>
      </w:r>
      <w:r>
        <w:rPr>
          <w:rFonts w:hint="eastAsia"/>
          <w:lang w:val="en-US" w:eastAsia="zh-CN"/>
        </w:rPr>
        <w:t>三</w:t>
      </w:r>
      <w:r>
        <w:rPr>
          <w:rFonts w:hint="eastAsia"/>
        </w:rPr>
        <w:t>（</w:t>
      </w:r>
      <w:r>
        <w:rPr>
          <w:rFonts w:hint="eastAsia"/>
          <w:lang w:val="en-US" w:eastAsia="zh-CN"/>
        </w:rPr>
        <w:t>3</w:t>
      </w:r>
      <w:r>
        <w:rPr>
          <w:rFonts w:hint="eastAsia"/>
        </w:rPr>
        <w:t>）年内，投标人在经营活动中没有因违法经营受到刑事处罚或者责令停产停业、吊销许可证或者执照、较大数额罚款等行政处罚；没有被主管部门列入黑名单或黑名单处罚期已过。在当前所有未决诉讼、违约或法律纠纷均应不影响本项目运作或对项目可能造成实质影响。</w:t>
      </w:r>
    </w:p>
    <w:p>
      <w:pPr>
        <w:pageBreakBefore w:val="0"/>
        <w:kinsoku/>
        <w:bidi w:val="0"/>
        <w:spacing w:line="360" w:lineRule="auto"/>
        <w:ind w:firstLine="480"/>
        <w:textAlignment w:val="auto"/>
      </w:pPr>
      <w:r>
        <w:rPr>
          <w:rFonts w:hint="eastAsia"/>
        </w:rPr>
        <w:t>投标人不是无力清偿债务者、没有处于受监管或被接管、清算的状态、没有破产或停业整顿，其业务没有处于被法院采取强制措施或管制的状态，其经营活动没有被中止，并且没有因上述事件而成为诉讼、仲裁或行政处罚的对象。</w:t>
      </w:r>
    </w:p>
    <w:p>
      <w:pPr>
        <w:pageBreakBefore w:val="0"/>
        <w:kinsoku/>
        <w:bidi w:val="0"/>
        <w:spacing w:line="360" w:lineRule="auto"/>
        <w:ind w:firstLine="480"/>
        <w:textAlignment w:val="auto"/>
      </w:pPr>
      <w:r>
        <w:rPr>
          <w:rFonts w:hint="eastAsia"/>
        </w:rPr>
        <w:t>在资格预审公告发布之日起前</w:t>
      </w:r>
      <w:r>
        <w:rPr>
          <w:rFonts w:hint="eastAsia"/>
          <w:lang w:val="en-US" w:eastAsia="zh-CN"/>
        </w:rPr>
        <w:t>三</w:t>
      </w:r>
      <w:r>
        <w:rPr>
          <w:rFonts w:hint="eastAsia"/>
        </w:rPr>
        <w:t>（</w:t>
      </w:r>
      <w:r>
        <w:rPr>
          <w:rFonts w:hint="eastAsia"/>
          <w:lang w:val="en-US" w:eastAsia="zh-CN"/>
        </w:rPr>
        <w:t>3</w:t>
      </w:r>
      <w:r>
        <w:rPr>
          <w:rFonts w:hint="eastAsia"/>
        </w:rPr>
        <w:t>）年内，申请人（社会资本）及申请人（社会资本）的董事及其他高级管理人员不曾发生重大违法违规行为和政府采购法第七十七条所述的不良行为，包括没有编制虚假财务报表、提供虚假财务信息、就企业基本情况作虚假陈述等情况，且没有为获取某项合同而支付不正当费用或行贿等行为。</w:t>
      </w: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wordWrap w:val="0"/>
        <w:bidi w:val="0"/>
        <w:spacing w:line="360" w:lineRule="auto"/>
        <w:ind w:firstLine="480"/>
        <w:jc w:val="right"/>
        <w:textAlignment w:val="auto"/>
      </w:pPr>
      <w:r>
        <w:rPr>
          <w:rFonts w:hint="eastAsia"/>
        </w:rPr>
        <w:t>投标人：_____________________(盖单位章)</w:t>
      </w:r>
    </w:p>
    <w:p>
      <w:pPr>
        <w:pageBreakBefore w:val="0"/>
        <w:kinsoku/>
        <w:bidi w:val="0"/>
        <w:spacing w:line="360" w:lineRule="auto"/>
        <w:ind w:firstLine="480"/>
        <w:jc w:val="right"/>
        <w:textAlignment w:val="auto"/>
      </w:pPr>
      <w:r>
        <w:rPr>
          <w:rFonts w:hint="eastAsia"/>
        </w:rPr>
        <w:t>法定代表人或其委托代理人：____________(签字)</w:t>
      </w:r>
    </w:p>
    <w:p>
      <w:pPr>
        <w:pageBreakBefore w:val="0"/>
        <w:kinsoku/>
        <w:bidi w:val="0"/>
        <w:spacing w:line="360" w:lineRule="auto"/>
        <w:ind w:firstLine="480"/>
        <w:jc w:val="right"/>
        <w:textAlignment w:val="auto"/>
      </w:pPr>
      <w:r>
        <w:rPr>
          <w:rFonts w:hint="eastAsia"/>
        </w:rPr>
        <w:t>__________年_________月_________日</w:t>
      </w:r>
    </w:p>
    <w:p>
      <w:pPr>
        <w:pageBreakBefore w:val="0"/>
        <w:kinsoku/>
        <w:bidi w:val="0"/>
        <w:spacing w:line="360" w:lineRule="auto"/>
        <w:ind w:firstLine="480"/>
        <w:textAlignment w:val="auto"/>
      </w:pPr>
    </w:p>
    <w:p>
      <w:pPr>
        <w:pageBreakBefore w:val="0"/>
        <w:kinsoku/>
        <w:bidi w:val="0"/>
        <w:spacing w:line="360" w:lineRule="auto"/>
        <w:ind w:firstLine="480"/>
        <w:textAlignment w:val="auto"/>
      </w:pPr>
      <w:r>
        <w:br w:type="page"/>
      </w:r>
    </w:p>
    <w:p>
      <w:pPr>
        <w:pStyle w:val="58"/>
        <w:pageBreakBefore w:val="0"/>
        <w:numPr>
          <w:ilvl w:val="0"/>
          <w:numId w:val="0"/>
        </w:numPr>
        <w:kinsoku/>
        <w:bidi w:val="0"/>
        <w:spacing w:line="360" w:lineRule="auto"/>
        <w:ind w:left="576"/>
        <w:jc w:val="center"/>
        <w:textAlignment w:val="auto"/>
      </w:pPr>
      <w:bookmarkStart w:id="142" w:name="_Toc437271323"/>
      <w:r>
        <w:rPr>
          <w:rFonts w:hint="eastAsia"/>
        </w:rPr>
        <w:t>十</w:t>
      </w:r>
      <w:r>
        <w:rPr>
          <w:rFonts w:hint="eastAsia"/>
          <w:lang w:val="en-US" w:eastAsia="zh-CN"/>
        </w:rPr>
        <w:t>三</w:t>
      </w:r>
      <w:r>
        <w:rPr>
          <w:rFonts w:hint="eastAsia"/>
        </w:rPr>
        <w:t>、社会资本综合实力</w:t>
      </w:r>
      <w:bookmarkEnd w:id="142"/>
    </w:p>
    <w:p>
      <w:pPr>
        <w:pageBreakBefore w:val="0"/>
        <w:kinsoku/>
        <w:bidi w:val="0"/>
        <w:spacing w:line="360" w:lineRule="auto"/>
        <w:ind w:firstLine="480"/>
        <w:textAlignment w:val="auto"/>
        <w:rPr>
          <w:color w:val="auto"/>
        </w:rPr>
      </w:pPr>
      <w:r>
        <w:rPr>
          <w:rFonts w:hint="eastAsia"/>
          <w:color w:val="auto"/>
        </w:rPr>
        <w:t>投标人</w:t>
      </w:r>
      <w:r>
        <w:rPr>
          <w:rFonts w:hint="eastAsia"/>
          <w:color w:val="auto"/>
          <w:lang w:val="en-US" w:eastAsia="zh-CN"/>
        </w:rPr>
        <w:t>结合自身情况综合阐述社会资本的综合实力，所需证明材料均应附上相关证明（具体格式自拟）</w:t>
      </w:r>
      <w:r>
        <w:rPr>
          <w:rFonts w:hint="eastAsia"/>
          <w:color w:val="auto"/>
        </w:rPr>
        <w:t>。</w:t>
      </w:r>
    </w:p>
    <w:p>
      <w:pPr>
        <w:pageBreakBefore w:val="0"/>
        <w:kinsoku/>
        <w:bidi w:val="0"/>
        <w:spacing w:line="360" w:lineRule="auto"/>
        <w:ind w:firstLine="480"/>
        <w:textAlignment w:val="auto"/>
      </w:pPr>
      <w:r>
        <w:br w:type="page"/>
      </w:r>
    </w:p>
    <w:p>
      <w:pPr>
        <w:pStyle w:val="58"/>
        <w:pageBreakBefore w:val="0"/>
        <w:numPr>
          <w:ilvl w:val="0"/>
          <w:numId w:val="0"/>
        </w:numPr>
        <w:kinsoku/>
        <w:bidi w:val="0"/>
        <w:spacing w:line="240" w:lineRule="auto"/>
        <w:ind w:left="576"/>
        <w:jc w:val="center"/>
        <w:textAlignment w:val="auto"/>
        <w:rPr>
          <w:rFonts w:hint="eastAsia"/>
          <w:sz w:val="15"/>
          <w:szCs w:val="15"/>
        </w:rPr>
      </w:pPr>
      <w:bookmarkStart w:id="143" w:name="_Toc437271324"/>
    </w:p>
    <w:p>
      <w:pPr>
        <w:pStyle w:val="58"/>
        <w:pageBreakBefore w:val="0"/>
        <w:numPr>
          <w:ilvl w:val="0"/>
          <w:numId w:val="0"/>
        </w:numPr>
        <w:kinsoku/>
        <w:bidi w:val="0"/>
        <w:spacing w:line="360" w:lineRule="auto"/>
        <w:ind w:left="576"/>
        <w:jc w:val="center"/>
        <w:textAlignment w:val="auto"/>
      </w:pPr>
      <w:r>
        <w:rPr>
          <w:rFonts w:hint="eastAsia"/>
        </w:rPr>
        <w:t>十</w:t>
      </w:r>
      <w:r>
        <w:rPr>
          <w:rFonts w:hint="eastAsia"/>
          <w:lang w:val="en-US" w:eastAsia="zh-CN"/>
        </w:rPr>
        <w:t>四</w:t>
      </w:r>
      <w:r>
        <w:rPr>
          <w:rFonts w:hint="eastAsia"/>
        </w:rPr>
        <w:t>、目标承诺书</w:t>
      </w:r>
      <w:bookmarkEnd w:id="143"/>
    </w:p>
    <w:p>
      <w:pPr>
        <w:pageBreakBefore w:val="0"/>
        <w:widowControl/>
        <w:kinsoku/>
        <w:bidi w:val="0"/>
        <w:spacing w:line="360" w:lineRule="auto"/>
        <w:ind w:firstLine="0" w:firstLineChars="0"/>
        <w:jc w:val="left"/>
        <w:textAlignment w:val="auto"/>
        <w:rPr>
          <w:rFonts w:cstheme="majorBidi"/>
          <w:b/>
          <w:bCs/>
          <w:szCs w:val="32"/>
        </w:rPr>
      </w:pPr>
    </w:p>
    <w:tbl>
      <w:tblPr>
        <w:tblStyle w:val="4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485" w:type="dxa"/>
            <w:vAlign w:val="center"/>
          </w:tcPr>
          <w:p>
            <w:pPr>
              <w:keepNext w:val="0"/>
              <w:keepLines w:val="0"/>
              <w:pageBreakBefore w:val="0"/>
              <w:widowControl/>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eastAsiaTheme="minorEastAsia" w:cstheme="majorBidi"/>
                <w:b/>
                <w:bCs/>
                <w:szCs w:val="32"/>
              </w:rPr>
            </w:pPr>
            <w:r>
              <w:rPr>
                <w:rFonts w:hint="eastAsia" w:asciiTheme="minorEastAsia" w:hAnsiTheme="minorEastAsia" w:eastAsiaTheme="minorEastAsia" w:cstheme="majorBidi"/>
                <w:b/>
                <w:bCs/>
                <w:szCs w:val="32"/>
              </w:rPr>
              <w:t>建设要求</w:t>
            </w:r>
          </w:p>
        </w:tc>
        <w:tc>
          <w:tcPr>
            <w:tcW w:w="6235" w:type="dxa"/>
            <w:vAlign w:val="center"/>
          </w:tcPr>
          <w:p>
            <w:pPr>
              <w:keepNext w:val="0"/>
              <w:keepLines w:val="0"/>
              <w:pageBreakBefore w:val="0"/>
              <w:widowControl/>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eastAsiaTheme="minorEastAsia" w:cstheme="majorBidi"/>
                <w:b/>
                <w:bCs/>
                <w:szCs w:val="32"/>
              </w:rPr>
            </w:pPr>
            <w:r>
              <w:rPr>
                <w:rFonts w:hint="eastAsia" w:asciiTheme="minorEastAsia" w:hAnsiTheme="minorEastAsia" w:eastAsiaTheme="minorEastAsia" w:cstheme="majorBidi"/>
                <w:b/>
                <w:bCs/>
                <w:szCs w:val="3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jc w:val="center"/>
        </w:trPr>
        <w:tc>
          <w:tcPr>
            <w:tcW w:w="2485" w:type="dxa"/>
            <w:vAlign w:val="center"/>
          </w:tcPr>
          <w:p>
            <w:pPr>
              <w:keepNext w:val="0"/>
              <w:keepLines w:val="0"/>
              <w:pageBreakBefore w:val="0"/>
              <w:widowControl/>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eastAsiaTheme="minorEastAsia" w:cstheme="majorBidi"/>
                <w:bCs/>
                <w:szCs w:val="32"/>
              </w:rPr>
            </w:pPr>
            <w:r>
              <w:rPr>
                <w:rFonts w:hint="eastAsia" w:asciiTheme="minorEastAsia" w:hAnsiTheme="minorEastAsia" w:eastAsiaTheme="minorEastAsia" w:cstheme="majorBidi"/>
                <w:bCs/>
                <w:szCs w:val="32"/>
              </w:rPr>
              <w:t>质量目标</w:t>
            </w:r>
          </w:p>
        </w:tc>
        <w:tc>
          <w:tcPr>
            <w:tcW w:w="6235" w:type="dxa"/>
            <w:vAlign w:val="center"/>
          </w:tcPr>
          <w:p>
            <w:pPr>
              <w:keepNext w:val="0"/>
              <w:keepLines w:val="0"/>
              <w:pageBreakBefore w:val="0"/>
              <w:widowControl/>
              <w:suppressLineNumbers w:val="0"/>
              <w:kinsoku/>
              <w:bidi w:val="0"/>
              <w:spacing w:before="0" w:beforeAutospacing="0" w:after="0" w:afterAutospacing="0" w:line="360" w:lineRule="auto"/>
              <w:ind w:left="0" w:right="0" w:firstLine="0" w:firstLineChars="0"/>
              <w:jc w:val="left"/>
              <w:textAlignment w:val="auto"/>
              <w:rPr>
                <w:rFonts w:hint="default" w:asciiTheme="minorEastAsia" w:hAnsiTheme="minorEastAsia" w:eastAsiaTheme="minorEastAsia" w:cstheme="majorBidi"/>
                <w:bCs/>
                <w:szCs w:val="32"/>
              </w:rPr>
            </w:pPr>
            <w:r>
              <w:rPr>
                <w:rFonts w:hint="eastAsia" w:asciiTheme="minorEastAsia" w:hAnsiTheme="minorEastAsia" w:eastAsiaTheme="minorEastAsia" w:cstheme="majorBidi"/>
                <w:bCs/>
                <w:szCs w:val="32"/>
              </w:rPr>
              <w:t>质量目标：</w:t>
            </w:r>
            <w:r>
              <w:rPr>
                <w:rFonts w:hint="eastAsia" w:asciiTheme="minorEastAsia" w:hAnsiTheme="minorEastAsia" w:eastAsiaTheme="minorEastAsia" w:cstheme="majorBidi"/>
                <w:bCs/>
                <w:szCs w:val="32"/>
                <w:lang w:val="en-US"/>
              </w:rPr>
              <w:t>主体工程质量符合《公路工程质量检验评定标准》(土建工程) (JTG F80／1—2004)与《公路工程质量检验评定标准》(机电工程)(JTG F80／2—2004)（以最新标准为准）等规定，交工验收质量合格，竣工验收工程质量等级为优良；慢行系统工程质量应当符合《房屋建筑和市政基础设施工程竣工验收规定》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jc w:val="center"/>
        </w:trPr>
        <w:tc>
          <w:tcPr>
            <w:tcW w:w="2485" w:type="dxa"/>
            <w:vAlign w:val="center"/>
          </w:tcPr>
          <w:p>
            <w:pPr>
              <w:keepNext w:val="0"/>
              <w:keepLines w:val="0"/>
              <w:pageBreakBefore w:val="0"/>
              <w:widowControl/>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eastAsiaTheme="minorEastAsia" w:cstheme="majorBidi"/>
                <w:bCs/>
                <w:szCs w:val="32"/>
              </w:rPr>
            </w:pPr>
            <w:r>
              <w:rPr>
                <w:rFonts w:hint="eastAsia" w:asciiTheme="minorEastAsia" w:hAnsiTheme="minorEastAsia" w:eastAsiaTheme="minorEastAsia" w:cstheme="majorBidi"/>
                <w:bCs/>
                <w:szCs w:val="32"/>
              </w:rPr>
              <w:t>安全目标</w:t>
            </w:r>
          </w:p>
        </w:tc>
        <w:tc>
          <w:tcPr>
            <w:tcW w:w="6235" w:type="dxa"/>
            <w:vAlign w:val="center"/>
          </w:tcPr>
          <w:p>
            <w:pPr>
              <w:keepNext w:val="0"/>
              <w:keepLines w:val="0"/>
              <w:pageBreakBefore w:val="0"/>
              <w:widowControl/>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eastAsiaTheme="minorEastAsia" w:cstheme="majorBidi"/>
                <w:bCs/>
                <w:szCs w:val="32"/>
              </w:rPr>
            </w:pPr>
            <w:r>
              <w:rPr>
                <w:rFonts w:hint="eastAsia" w:asciiTheme="minorEastAsia" w:hAnsiTheme="minorEastAsia" w:eastAsiaTheme="minorEastAsia" w:cstheme="majorBidi"/>
                <w:bCs/>
                <w:szCs w:val="32"/>
              </w:rPr>
              <w:t>确保不发生有人员伤亡的安全责任事故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jc w:val="center"/>
        </w:trPr>
        <w:tc>
          <w:tcPr>
            <w:tcW w:w="2485" w:type="dxa"/>
            <w:vAlign w:val="center"/>
          </w:tcPr>
          <w:p>
            <w:pPr>
              <w:keepNext w:val="0"/>
              <w:keepLines w:val="0"/>
              <w:pageBreakBefore w:val="0"/>
              <w:widowControl/>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eastAsiaTheme="minorEastAsia" w:cstheme="majorBidi"/>
                <w:bCs/>
                <w:color w:val="auto"/>
                <w:szCs w:val="32"/>
              </w:rPr>
            </w:pPr>
            <w:r>
              <w:rPr>
                <w:rFonts w:hint="eastAsia" w:asciiTheme="minorEastAsia" w:hAnsiTheme="minorEastAsia" w:eastAsiaTheme="minorEastAsia" w:cstheme="majorBidi"/>
                <w:bCs/>
                <w:color w:val="auto"/>
                <w:szCs w:val="32"/>
              </w:rPr>
              <w:t>工期目标</w:t>
            </w:r>
          </w:p>
        </w:tc>
        <w:tc>
          <w:tcPr>
            <w:tcW w:w="6235" w:type="dxa"/>
            <w:vAlign w:val="center"/>
          </w:tcPr>
          <w:p>
            <w:pPr>
              <w:keepNext w:val="0"/>
              <w:keepLines w:val="0"/>
              <w:pageBreakBefore w:val="0"/>
              <w:widowControl/>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eastAsiaTheme="minorEastAsia" w:cstheme="majorBidi"/>
                <w:bCs/>
                <w:color w:val="auto"/>
                <w:szCs w:val="32"/>
              </w:rPr>
            </w:pPr>
            <w:r>
              <w:rPr>
                <w:rFonts w:hint="eastAsia" w:asciiTheme="minorEastAsia" w:hAnsiTheme="minorEastAsia" w:eastAsiaTheme="minorEastAsia" w:cstheme="majorBidi"/>
                <w:bCs/>
                <w:color w:val="auto"/>
                <w:szCs w:val="32"/>
              </w:rPr>
              <w:t>总合同工期为</w:t>
            </w:r>
            <w:r>
              <w:rPr>
                <w:rFonts w:hint="eastAsia" w:asciiTheme="minorEastAsia" w:hAnsiTheme="minorEastAsia" w:eastAsiaTheme="minorEastAsia" w:cstheme="majorBidi"/>
                <w:bCs/>
                <w:color w:val="auto"/>
                <w:szCs w:val="32"/>
                <w:lang w:val="en-US" w:eastAsia="zh-CN"/>
              </w:rPr>
              <w:t>18</w:t>
            </w:r>
            <w:r>
              <w:rPr>
                <w:rFonts w:hint="eastAsia" w:asciiTheme="minorEastAsia" w:hAnsiTheme="minorEastAsia" w:eastAsiaTheme="minorEastAsia" w:cstheme="majorBidi"/>
                <w:bCs/>
                <w:color w:val="auto"/>
                <w:szCs w:val="32"/>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jc w:val="center"/>
        </w:trPr>
        <w:tc>
          <w:tcPr>
            <w:tcW w:w="2485" w:type="dxa"/>
            <w:vAlign w:val="center"/>
          </w:tcPr>
          <w:p>
            <w:pPr>
              <w:keepNext w:val="0"/>
              <w:keepLines w:val="0"/>
              <w:pageBreakBefore w:val="0"/>
              <w:widowControl/>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eastAsiaTheme="minorEastAsia" w:cstheme="majorBidi"/>
                <w:bCs/>
                <w:szCs w:val="32"/>
              </w:rPr>
            </w:pPr>
            <w:r>
              <w:rPr>
                <w:rFonts w:hint="eastAsia" w:asciiTheme="minorEastAsia" w:hAnsiTheme="minorEastAsia" w:eastAsiaTheme="minorEastAsia" w:cstheme="majorBidi"/>
                <w:bCs/>
                <w:szCs w:val="32"/>
              </w:rPr>
              <w:t>廉政目标</w:t>
            </w:r>
          </w:p>
        </w:tc>
        <w:tc>
          <w:tcPr>
            <w:tcW w:w="6235" w:type="dxa"/>
            <w:vAlign w:val="center"/>
          </w:tcPr>
          <w:p>
            <w:pPr>
              <w:keepNext w:val="0"/>
              <w:keepLines w:val="0"/>
              <w:pageBreakBefore w:val="0"/>
              <w:widowControl/>
              <w:suppressLineNumbers w:val="0"/>
              <w:kinsoku/>
              <w:bidi w:val="0"/>
              <w:spacing w:before="0" w:beforeAutospacing="0" w:after="0" w:afterAutospacing="0" w:line="360" w:lineRule="auto"/>
              <w:ind w:left="0" w:right="0" w:firstLine="0" w:firstLineChars="0"/>
              <w:jc w:val="center"/>
              <w:textAlignment w:val="auto"/>
              <w:rPr>
                <w:rFonts w:hint="default" w:asciiTheme="minorEastAsia" w:hAnsiTheme="minorEastAsia" w:eastAsiaTheme="minorEastAsia" w:cstheme="majorBidi"/>
                <w:bCs/>
                <w:szCs w:val="32"/>
              </w:rPr>
            </w:pPr>
            <w:r>
              <w:rPr>
                <w:rFonts w:hint="eastAsia" w:asciiTheme="minorEastAsia" w:hAnsiTheme="minorEastAsia" w:eastAsiaTheme="minorEastAsia" w:cstheme="majorBidi"/>
                <w:bCs/>
                <w:szCs w:val="32"/>
              </w:rPr>
              <w:t>确保实现廉政建设“零”违纪</w:t>
            </w:r>
          </w:p>
        </w:tc>
      </w:tr>
    </w:tbl>
    <w:p>
      <w:pPr>
        <w:pageBreakBefore w:val="0"/>
        <w:kinsoku/>
        <w:bidi w:val="0"/>
        <w:spacing w:line="360" w:lineRule="auto"/>
        <w:ind w:firstLine="0" w:firstLineChars="0"/>
        <w:textAlignment w:val="auto"/>
      </w:pPr>
    </w:p>
    <w:p>
      <w:pPr>
        <w:pageBreakBefore w:val="0"/>
        <w:kinsoku/>
        <w:bidi w:val="0"/>
        <w:spacing w:line="360" w:lineRule="auto"/>
        <w:ind w:firstLine="480"/>
        <w:textAlignment w:val="auto"/>
        <w:rPr>
          <w:rFonts w:cstheme="majorBidi"/>
          <w:b/>
          <w:bCs/>
          <w:szCs w:val="32"/>
        </w:rPr>
      </w:pPr>
      <w:r>
        <w:rPr>
          <w:rFonts w:hint="eastAsia"/>
        </w:rPr>
        <w:t>我方</w:t>
      </w:r>
      <w:r>
        <w:t>在此</w:t>
      </w:r>
      <w:r>
        <w:rPr>
          <w:rFonts w:hint="eastAsia"/>
        </w:rPr>
        <w:t>承诺</w:t>
      </w:r>
      <w:r>
        <w:t>，如果我单位在</w:t>
      </w:r>
      <w:r>
        <w:rPr>
          <w:rFonts w:hint="eastAsia"/>
        </w:rPr>
        <w:t>________________________项目</w:t>
      </w:r>
      <w:r>
        <w:t>中标，保证按各项目标完成施工任务，否则</w:t>
      </w:r>
      <w:r>
        <w:rPr>
          <w:rFonts w:hint="eastAsia"/>
        </w:rPr>
        <w:t>自愿</w:t>
      </w:r>
      <w:r>
        <w:t>按照招标人的有关规定接受惩罚。</w:t>
      </w:r>
    </w:p>
    <w:p>
      <w:pPr>
        <w:pageBreakBefore w:val="0"/>
        <w:widowControl/>
        <w:kinsoku/>
        <w:bidi w:val="0"/>
        <w:spacing w:line="360" w:lineRule="auto"/>
        <w:ind w:firstLine="0" w:firstLineChars="0"/>
        <w:jc w:val="left"/>
        <w:textAlignment w:val="auto"/>
        <w:rPr>
          <w:rFonts w:cstheme="majorBidi"/>
          <w:b/>
          <w:bCs/>
          <w:szCs w:val="32"/>
        </w:rPr>
      </w:pPr>
    </w:p>
    <w:p>
      <w:pPr>
        <w:pageBreakBefore w:val="0"/>
        <w:widowControl/>
        <w:kinsoku/>
        <w:wordWrap w:val="0"/>
        <w:bidi w:val="0"/>
        <w:spacing w:line="360" w:lineRule="auto"/>
        <w:ind w:firstLine="0" w:firstLineChars="0"/>
        <w:jc w:val="right"/>
        <w:textAlignment w:val="auto"/>
        <w:rPr>
          <w:rFonts w:cstheme="majorBidi"/>
          <w:bCs/>
          <w:szCs w:val="32"/>
          <w:u w:val="single"/>
        </w:rPr>
      </w:pPr>
      <w:r>
        <w:rPr>
          <w:rFonts w:hint="eastAsia" w:cstheme="majorBidi"/>
          <w:bCs/>
          <w:szCs w:val="32"/>
        </w:rPr>
        <w:t>申</w:t>
      </w:r>
      <w:r>
        <w:rPr>
          <w:rFonts w:cstheme="majorBidi"/>
          <w:bCs/>
          <w:szCs w:val="32"/>
        </w:rPr>
        <w:t xml:space="preserve">  </w:t>
      </w:r>
      <w:r>
        <w:rPr>
          <w:rFonts w:hint="eastAsia" w:cstheme="majorBidi"/>
          <w:bCs/>
          <w:szCs w:val="32"/>
        </w:rPr>
        <w:t>请</w:t>
      </w:r>
      <w:r>
        <w:rPr>
          <w:rFonts w:cstheme="majorBidi"/>
          <w:bCs/>
          <w:szCs w:val="32"/>
        </w:rPr>
        <w:t xml:space="preserve">  </w:t>
      </w:r>
      <w:r>
        <w:rPr>
          <w:rFonts w:hint="eastAsia" w:cstheme="majorBidi"/>
          <w:bCs/>
          <w:szCs w:val="32"/>
        </w:rPr>
        <w:t>人：</w:t>
      </w:r>
      <w:r>
        <w:rPr>
          <w:rFonts w:hint="eastAsia" w:cstheme="majorBidi"/>
          <w:bCs/>
          <w:szCs w:val="32"/>
          <w:u w:val="single"/>
        </w:rPr>
        <w:t>（全称并加盖单位公章）</w:t>
      </w:r>
    </w:p>
    <w:p>
      <w:pPr>
        <w:pageBreakBefore w:val="0"/>
        <w:widowControl/>
        <w:kinsoku/>
        <w:wordWrap w:val="0"/>
        <w:bidi w:val="0"/>
        <w:spacing w:line="360" w:lineRule="auto"/>
        <w:ind w:firstLine="0" w:firstLineChars="0"/>
        <w:jc w:val="right"/>
        <w:textAlignment w:val="auto"/>
        <w:rPr>
          <w:rFonts w:cstheme="majorBidi"/>
          <w:bCs/>
          <w:szCs w:val="32"/>
          <w:u w:val="single"/>
        </w:rPr>
      </w:pPr>
      <w:r>
        <w:rPr>
          <w:rFonts w:hint="eastAsia" w:cstheme="majorBidi"/>
          <w:bCs/>
          <w:szCs w:val="32"/>
        </w:rPr>
        <w:t>法定代表人：</w:t>
      </w:r>
      <w:r>
        <w:rPr>
          <w:rFonts w:cstheme="majorBidi"/>
          <w:bCs/>
          <w:szCs w:val="32"/>
          <w:u w:val="single"/>
        </w:rPr>
        <w:t xml:space="preserve">     </w:t>
      </w:r>
      <w:r>
        <w:rPr>
          <w:rFonts w:hint="eastAsia" w:cstheme="majorBidi"/>
          <w:bCs/>
          <w:szCs w:val="32"/>
          <w:u w:val="single"/>
        </w:rPr>
        <w:t>（签署全名</w:t>
      </w:r>
      <w:r>
        <w:rPr>
          <w:rFonts w:cstheme="majorBidi"/>
          <w:bCs/>
          <w:szCs w:val="32"/>
          <w:u w:val="single"/>
        </w:rPr>
        <w:t>）</w:t>
      </w:r>
      <w:r>
        <w:rPr>
          <w:rFonts w:hint="eastAsia" w:cstheme="majorBidi"/>
          <w:bCs/>
          <w:szCs w:val="32"/>
          <w:u w:val="single"/>
        </w:rPr>
        <w:t xml:space="preserve">    </w:t>
      </w:r>
    </w:p>
    <w:p>
      <w:pPr>
        <w:pageBreakBefore w:val="0"/>
        <w:widowControl/>
        <w:kinsoku/>
        <w:wordWrap w:val="0"/>
        <w:bidi w:val="0"/>
        <w:spacing w:line="360" w:lineRule="auto"/>
        <w:ind w:firstLine="0" w:firstLineChars="0"/>
        <w:jc w:val="right"/>
        <w:textAlignment w:val="auto"/>
        <w:rPr>
          <w:rFonts w:cstheme="majorBidi"/>
          <w:bCs/>
          <w:szCs w:val="32"/>
          <w:u w:val="single"/>
        </w:rPr>
      </w:pPr>
      <w:r>
        <w:rPr>
          <w:rFonts w:hint="eastAsia" w:cstheme="majorBidi"/>
          <w:bCs/>
          <w:szCs w:val="32"/>
        </w:rPr>
        <w:t>日</w:t>
      </w:r>
      <w:r>
        <w:rPr>
          <w:rFonts w:cstheme="majorBidi"/>
          <w:bCs/>
          <w:szCs w:val="32"/>
        </w:rPr>
        <w:t xml:space="preserve">      </w:t>
      </w:r>
      <w:r>
        <w:rPr>
          <w:rFonts w:hint="eastAsia" w:cstheme="majorBidi"/>
          <w:bCs/>
          <w:szCs w:val="32"/>
        </w:rPr>
        <w:t>期：</w:t>
      </w:r>
      <w:r>
        <w:rPr>
          <w:rFonts w:hint="eastAsia" w:cstheme="majorBidi"/>
          <w:bCs/>
          <w:szCs w:val="32"/>
          <w:u w:val="single"/>
        </w:rPr>
        <w:t xml:space="preserve">     </w:t>
      </w:r>
      <w:r>
        <w:rPr>
          <w:rFonts w:hint="eastAsia" w:cstheme="majorBidi"/>
          <w:bCs/>
          <w:szCs w:val="32"/>
        </w:rPr>
        <w:t>年</w:t>
      </w:r>
      <w:r>
        <w:rPr>
          <w:rFonts w:hint="eastAsia" w:cstheme="majorBidi"/>
          <w:bCs/>
          <w:szCs w:val="32"/>
          <w:u w:val="single"/>
        </w:rPr>
        <w:t xml:space="preserve">   </w:t>
      </w:r>
      <w:r>
        <w:rPr>
          <w:rFonts w:cstheme="majorBidi"/>
          <w:bCs/>
          <w:szCs w:val="32"/>
          <w:u w:val="single"/>
        </w:rPr>
        <w:t xml:space="preserve"> </w:t>
      </w:r>
      <w:r>
        <w:rPr>
          <w:rFonts w:hint="eastAsia" w:cstheme="majorBidi"/>
          <w:bCs/>
          <w:szCs w:val="32"/>
          <w:u w:val="single"/>
        </w:rPr>
        <w:t xml:space="preserve"> </w:t>
      </w:r>
      <w:r>
        <w:rPr>
          <w:rFonts w:hint="eastAsia" w:cstheme="majorBidi"/>
          <w:bCs/>
          <w:szCs w:val="32"/>
        </w:rPr>
        <w:t>月</w:t>
      </w:r>
      <w:r>
        <w:rPr>
          <w:rFonts w:hint="eastAsia" w:cstheme="majorBidi"/>
          <w:bCs/>
          <w:szCs w:val="32"/>
          <w:u w:val="single"/>
        </w:rPr>
        <w:t xml:space="preserve">     </w:t>
      </w:r>
      <w:r>
        <w:rPr>
          <w:rFonts w:hint="eastAsia" w:cstheme="majorBidi"/>
          <w:bCs/>
          <w:szCs w:val="32"/>
        </w:rPr>
        <w:t>日</w:t>
      </w:r>
    </w:p>
    <w:p>
      <w:pPr>
        <w:pageBreakBefore w:val="0"/>
        <w:widowControl/>
        <w:kinsoku/>
        <w:bidi w:val="0"/>
        <w:spacing w:line="360" w:lineRule="auto"/>
        <w:ind w:firstLine="0" w:firstLineChars="0"/>
        <w:jc w:val="left"/>
        <w:textAlignment w:val="auto"/>
        <w:rPr>
          <w:rFonts w:cstheme="majorBidi"/>
          <w:b/>
          <w:bCs/>
          <w:szCs w:val="32"/>
        </w:rPr>
      </w:pPr>
      <w:r>
        <w:rPr>
          <w:rFonts w:cstheme="majorBidi"/>
          <w:b/>
          <w:bCs/>
          <w:szCs w:val="32"/>
        </w:rPr>
        <w:br w:type="page"/>
      </w:r>
    </w:p>
    <w:p>
      <w:pPr>
        <w:pageBreakBefore w:val="0"/>
        <w:widowControl/>
        <w:kinsoku/>
        <w:bidi w:val="0"/>
        <w:spacing w:line="360" w:lineRule="auto"/>
        <w:ind w:firstLine="0" w:firstLineChars="0"/>
        <w:jc w:val="left"/>
        <w:textAlignment w:val="auto"/>
      </w:pPr>
    </w:p>
    <w:p>
      <w:pPr>
        <w:pStyle w:val="58"/>
        <w:pageBreakBefore w:val="0"/>
        <w:numPr>
          <w:ilvl w:val="0"/>
          <w:numId w:val="0"/>
        </w:numPr>
        <w:kinsoku/>
        <w:bidi w:val="0"/>
        <w:spacing w:line="360" w:lineRule="auto"/>
        <w:ind w:left="576"/>
        <w:jc w:val="center"/>
        <w:textAlignment w:val="auto"/>
      </w:pPr>
      <w:bookmarkStart w:id="144" w:name="_Toc437271325"/>
      <w:r>
        <w:rPr>
          <w:rFonts w:hint="eastAsia"/>
        </w:rPr>
        <w:t>十</w:t>
      </w:r>
      <w:r>
        <w:rPr>
          <w:rFonts w:hint="eastAsia"/>
          <w:lang w:val="en-US" w:eastAsia="zh-CN"/>
        </w:rPr>
        <w:t>五</w:t>
      </w:r>
      <w:r>
        <w:t>、其他材料</w:t>
      </w:r>
      <w:bookmarkEnd w:id="144"/>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sectPr>
          <w:headerReference r:id="rId7" w:type="default"/>
          <w:footerReference r:id="rId8" w:type="default"/>
          <w:pgSz w:w="11906" w:h="16838"/>
          <w:pgMar w:top="1588" w:right="1588" w:bottom="1304" w:left="1588" w:header="1134" w:footer="737" w:gutter="0"/>
          <w:cols w:space="425" w:num="1"/>
          <w:docGrid w:type="linesAndChars" w:linePitch="312" w:charSpace="0"/>
        </w:sectPr>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ageBreakBefore w:val="0"/>
        <w:kinsoku/>
        <w:bidi w:val="0"/>
        <w:spacing w:line="360" w:lineRule="auto"/>
        <w:ind w:firstLine="480"/>
        <w:textAlignment w:val="auto"/>
      </w:pPr>
    </w:p>
    <w:p>
      <w:pPr>
        <w:pStyle w:val="7"/>
        <w:pageBreakBefore w:val="0"/>
        <w:numPr>
          <w:ilvl w:val="0"/>
          <w:numId w:val="0"/>
        </w:numPr>
        <w:kinsoku/>
        <w:bidi w:val="0"/>
        <w:spacing w:line="360" w:lineRule="auto"/>
        <w:ind w:left="432"/>
        <w:textAlignment w:val="auto"/>
      </w:pPr>
      <w:bookmarkStart w:id="145" w:name="_Toc437271326"/>
      <w:r>
        <w:rPr>
          <w:rFonts w:hint="eastAsia"/>
        </w:rPr>
        <w:t xml:space="preserve">第二卷  </w:t>
      </w:r>
      <w:r>
        <w:rPr>
          <w:rFonts w:hint="eastAsia"/>
          <w:sz w:val="40"/>
          <w:szCs w:val="40"/>
        </w:rPr>
        <w:t>《</w:t>
      </w:r>
      <w:r>
        <w:rPr>
          <w:rFonts w:hint="eastAsia"/>
          <w:sz w:val="40"/>
          <w:szCs w:val="40"/>
          <w:lang w:val="en-US" w:eastAsia="zh-CN"/>
        </w:rPr>
        <w:t>登封市环嵩山旅游公路改建工程</w:t>
      </w:r>
      <w:r>
        <w:rPr>
          <w:rFonts w:hint="eastAsia"/>
          <w:sz w:val="40"/>
          <w:szCs w:val="40"/>
        </w:rPr>
        <w:t>PPP</w:t>
      </w:r>
      <w:r>
        <w:rPr>
          <w:rFonts w:hint="eastAsia"/>
          <w:sz w:val="40"/>
          <w:szCs w:val="40"/>
          <w:lang w:val="en-US" w:eastAsia="zh-CN"/>
        </w:rPr>
        <w:t>项目合同</w:t>
      </w:r>
      <w:r>
        <w:rPr>
          <w:rFonts w:hint="eastAsia"/>
          <w:sz w:val="40"/>
          <w:szCs w:val="40"/>
        </w:rPr>
        <w:t>》</w:t>
      </w:r>
      <w:bookmarkEnd w:id="145"/>
      <w:r>
        <w:rPr>
          <w:rFonts w:hint="eastAsia"/>
          <w:sz w:val="40"/>
          <w:szCs w:val="40"/>
          <w:lang w:eastAsia="zh-CN"/>
        </w:rPr>
        <w:t>、《</w:t>
      </w:r>
      <w:r>
        <w:rPr>
          <w:rFonts w:hint="eastAsia"/>
          <w:sz w:val="40"/>
          <w:szCs w:val="40"/>
          <w:lang w:val="en-US" w:eastAsia="zh-CN"/>
        </w:rPr>
        <w:t>项目股东出资协议</w:t>
      </w:r>
      <w:r>
        <w:rPr>
          <w:rFonts w:hint="eastAsia"/>
          <w:sz w:val="40"/>
          <w:szCs w:val="40"/>
          <w:lang w:eastAsia="zh-CN"/>
        </w:rPr>
        <w:t>》、《</w:t>
      </w:r>
      <w:r>
        <w:rPr>
          <w:rFonts w:hint="eastAsia"/>
          <w:sz w:val="40"/>
          <w:szCs w:val="40"/>
          <w:lang w:val="en-US" w:eastAsia="zh-CN"/>
        </w:rPr>
        <w:t>项目投资协议</w:t>
      </w:r>
      <w:r>
        <w:rPr>
          <w:rFonts w:hint="eastAsia"/>
          <w:sz w:val="40"/>
          <w:szCs w:val="40"/>
          <w:lang w:eastAsia="zh-CN"/>
        </w:rPr>
        <w:t>》、《</w:t>
      </w:r>
      <w:r>
        <w:rPr>
          <w:rFonts w:hint="eastAsia"/>
          <w:sz w:val="40"/>
          <w:szCs w:val="40"/>
          <w:lang w:val="en-US" w:eastAsia="zh-CN"/>
        </w:rPr>
        <w:t>项目公司章程</w:t>
      </w:r>
      <w:r>
        <w:rPr>
          <w:rFonts w:hint="eastAsia"/>
          <w:sz w:val="40"/>
          <w:szCs w:val="40"/>
          <w:lang w:eastAsia="zh-CN"/>
        </w:rPr>
        <w:t>》</w:t>
      </w:r>
    </w:p>
    <w:p>
      <w:pPr>
        <w:pageBreakBefore w:val="0"/>
        <w:kinsoku/>
        <w:bidi w:val="0"/>
        <w:spacing w:line="360" w:lineRule="auto"/>
        <w:ind w:firstLine="562"/>
        <w:jc w:val="center"/>
        <w:textAlignment w:val="auto"/>
        <w:rPr>
          <w:b/>
          <w:sz w:val="28"/>
        </w:rPr>
      </w:pPr>
      <w:r>
        <w:rPr>
          <w:b/>
          <w:sz w:val="28"/>
        </w:rPr>
        <w:t>（</w:t>
      </w:r>
      <w:r>
        <w:rPr>
          <w:rFonts w:hint="eastAsia"/>
          <w:b/>
          <w:sz w:val="28"/>
        </w:rPr>
        <w:t>另附</w:t>
      </w:r>
      <w:r>
        <w:rPr>
          <w:b/>
          <w:sz w:val="28"/>
        </w:rPr>
        <w:t>）</w:t>
      </w:r>
    </w:p>
    <w:p>
      <w:pPr>
        <w:pStyle w:val="2"/>
        <w:ind w:firstLine="0" w:firstLineChars="0"/>
        <w:rPr>
          <w:rFonts w:hint="eastAsia" w:eastAsia="宋体"/>
          <w:lang w:val="en-US" w:eastAsia="zh-CN"/>
        </w:rPr>
      </w:pPr>
      <w:r>
        <w:rPr>
          <w:rFonts w:hint="eastAsia"/>
          <w:b/>
          <w:sz w:val="28"/>
          <w:lang w:val="en-US" w:eastAsia="zh-CN"/>
        </w:rPr>
        <w:t>　　注：除另有约定外，该合同核心条款内容不作调整，其他内容均以甲乙双方最终谈判确认为准</w:t>
      </w:r>
    </w:p>
    <w:p>
      <w:pPr>
        <w:pageBreakBefore w:val="0"/>
        <w:kinsoku/>
        <w:bidi w:val="0"/>
        <w:spacing w:line="360" w:lineRule="auto"/>
        <w:ind w:firstLine="562"/>
        <w:jc w:val="center"/>
        <w:textAlignment w:val="auto"/>
        <w:rPr>
          <w:b/>
          <w:sz w:val="28"/>
        </w:rPr>
      </w:pPr>
    </w:p>
    <w:p>
      <w:pPr>
        <w:pageBreakBefore w:val="0"/>
        <w:kinsoku/>
        <w:bidi w:val="0"/>
        <w:spacing w:line="360" w:lineRule="auto"/>
        <w:ind w:firstLine="562"/>
        <w:jc w:val="center"/>
        <w:textAlignment w:val="auto"/>
        <w:rPr>
          <w:b/>
          <w:sz w:val="28"/>
        </w:rPr>
        <w:sectPr>
          <w:headerReference r:id="rId9" w:type="default"/>
          <w:pgSz w:w="11906" w:h="16838"/>
          <w:pgMar w:top="1588" w:right="1588" w:bottom="1304" w:left="1588" w:header="1134" w:footer="737" w:gutter="0"/>
          <w:cols w:space="425" w:num="1"/>
          <w:docGrid w:type="linesAndChars" w:linePitch="312" w:charSpace="0"/>
        </w:sectPr>
      </w:pPr>
    </w:p>
    <w:p>
      <w:pPr>
        <w:pageBreakBefore w:val="0"/>
        <w:kinsoku/>
        <w:bidi w:val="0"/>
        <w:spacing w:line="360" w:lineRule="auto"/>
        <w:ind w:firstLine="562"/>
        <w:jc w:val="center"/>
        <w:textAlignment w:val="auto"/>
        <w:rPr>
          <w:b/>
          <w:sz w:val="28"/>
        </w:rPr>
      </w:pPr>
    </w:p>
    <w:bookmarkEnd w:id="0"/>
    <w:bookmarkEnd w:id="1"/>
    <w:p>
      <w:pPr>
        <w:pageBreakBefore w:val="0"/>
        <w:kinsoku/>
        <w:bidi w:val="0"/>
        <w:spacing w:line="360" w:lineRule="auto"/>
        <w:ind w:left="0" w:leftChars="0" w:firstLine="0" w:firstLineChars="0"/>
        <w:jc w:val="both"/>
        <w:textAlignment w:val="auto"/>
      </w:pPr>
    </w:p>
    <w:sectPr>
      <w:headerReference r:id="rId10" w:type="default"/>
      <w:type w:val="continuous"/>
      <w:pgSz w:w="11906" w:h="16838"/>
      <w:pgMar w:top="1588" w:right="1588" w:bottom="1304" w:left="1588" w:header="1134" w:footer="73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modern"/>
    <w:pitch w:val="default"/>
    <w:sig w:usb0="E0002A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roman"/>
    <w:pitch w:val="default"/>
    <w:sig w:usb0="00000003" w:usb1="288F0000" w:usb2="00000006" w:usb3="00000000" w:csb0="00040001" w:csb1="00000000"/>
  </w:font>
  <w:font w:name="Arial Unicode MS">
    <w:altName w:val="宋体"/>
    <w:panose1 w:val="020B0604020202020204"/>
    <w:charset w:val="86"/>
    <w:family w:val="modern"/>
    <w:pitch w:val="default"/>
    <w:sig w:usb0="00000000" w:usb1="00000000" w:usb2="0000003F" w:usb3="00000000" w:csb0="003F01FF" w:csb1="00000000"/>
  </w:font>
  <w:font w:name="Segoe UI Symbol">
    <w:panose1 w:val="020B0502040204020203"/>
    <w:charset w:val="00"/>
    <w:family w:val="modern"/>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thinThickSmallGap" w:color="0068B7" w:sz="24" w:space="1"/>
      </w:pBdr>
      <w:spacing w:line="400" w:lineRule="exact"/>
      <w:ind w:firstLine="0" w:firstLineChars="0"/>
      <w:jc w:val="both"/>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0613395"/>
    </w:sdtPr>
    <w:sdtEndPr>
      <w:rPr>
        <w:sz w:val="21"/>
      </w:rPr>
    </w:sdtEndPr>
    <w:sdtContent>
      <w:p>
        <w:pPr>
          <w:pStyle w:val="23"/>
          <w:pBdr>
            <w:top w:val="thinThickSmallGap" w:color="0068B7" w:sz="24" w:space="1"/>
          </w:pBdr>
          <w:spacing w:line="400" w:lineRule="exact"/>
          <w:ind w:firstLine="0" w:firstLineChars="0"/>
          <w:rPr>
            <w:sz w:val="21"/>
          </w:rPr>
        </w:pPr>
        <w:r>
          <w:drawing>
            <wp:anchor distT="0" distB="0" distL="114300" distR="114300" simplePos="0" relativeHeight="251660288" behindDoc="0" locked="0" layoutInCell="1" allowOverlap="1">
              <wp:simplePos x="0" y="0"/>
              <wp:positionH relativeFrom="column">
                <wp:posOffset>3131820</wp:posOffset>
              </wp:positionH>
              <wp:positionV relativeFrom="paragraph">
                <wp:posOffset>52070</wp:posOffset>
              </wp:positionV>
              <wp:extent cx="2752090" cy="60960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52090" cy="609600"/>
                      </a:xfrm>
                      <a:prstGeom prst="rect">
                        <a:avLst/>
                      </a:prstGeom>
                      <a:noFill/>
                    </pic:spPr>
                  </pic:pic>
                </a:graphicData>
              </a:graphic>
            </wp:anchor>
          </w:drawing>
        </w:r>
        <w:r>
          <w:rPr>
            <w:rFonts w:cs="Arial"/>
          </w:rPr>
          <w:drawing>
            <wp:anchor distT="0" distB="0" distL="114300" distR="114300" simplePos="0" relativeHeight="251659264" behindDoc="0" locked="0" layoutInCell="1" allowOverlap="1">
              <wp:simplePos x="0" y="0"/>
              <wp:positionH relativeFrom="column">
                <wp:posOffset>-34925</wp:posOffset>
              </wp:positionH>
              <wp:positionV relativeFrom="paragraph">
                <wp:posOffset>91440</wp:posOffset>
              </wp:positionV>
              <wp:extent cx="1257300" cy="413385"/>
              <wp:effectExtent l="0" t="0" r="0" b="571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
                        <a:extLst>
                          <a:ext uri="{28A0092B-C50C-407E-A947-70E740481C1C}">
                            <a14:useLocalDpi xmlns:a14="http://schemas.microsoft.com/office/drawing/2010/main" val="0"/>
                          </a:ext>
                        </a:extLst>
                      </a:blip>
                      <a:srcRect l="8734" t="13416" r="5888" b="13501"/>
                      <a:stretch>
                        <a:fillRect/>
                      </a:stretch>
                    </pic:blipFill>
                    <pic:spPr>
                      <a:xfrm>
                        <a:off x="0" y="0"/>
                        <a:ext cx="1257300" cy="413385"/>
                      </a:xfrm>
                      <a:prstGeom prst="rect">
                        <a:avLst/>
                      </a:prstGeom>
                      <a:noFill/>
                    </pic:spPr>
                  </pic:pic>
                </a:graphicData>
              </a:graphic>
            </wp:anchor>
          </w:drawing>
        </w:r>
        <w:r>
          <w:rPr>
            <w:sz w:val="21"/>
          </w:rPr>
          <w:fldChar w:fldCharType="begin"/>
        </w:r>
        <w:r>
          <w:rPr>
            <w:sz w:val="21"/>
          </w:rPr>
          <w:instrText xml:space="preserve">PAGE   \* MERGEFORMAT</w:instrText>
        </w:r>
        <w:r>
          <w:rPr>
            <w:sz w:val="21"/>
          </w:rPr>
          <w:fldChar w:fldCharType="separate"/>
        </w:r>
        <w:r>
          <w:t>I</w:t>
        </w:r>
        <w:r>
          <w:rPr>
            <w:sz w:val="21"/>
          </w:rPr>
          <w:fldChar w:fldCharType="end"/>
        </w:r>
      </w:p>
    </w:sdtContent>
  </w:sdt>
  <w:p>
    <w:pPr>
      <w:pStyle w:val="23"/>
      <w:ind w:firstLine="360"/>
    </w:pPr>
    <w:r>
      <w:rPr>
        <w:rFonts w:hint="eastAsia"/>
      </w:rPr>
      <w:t>第一</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thinThickSmallGap" w:color="0068B7" w:sz="24" w:space="1"/>
      </w:pBdr>
      <w:spacing w:line="400" w:lineRule="exact"/>
      <w:ind w:firstLine="0" w:firstLineChars="0"/>
      <w:jc w:val="center"/>
      <w:rPr>
        <w:sz w:val="21"/>
      </w:rPr>
    </w:pPr>
    <w:sdt>
      <w:sdtPr>
        <w:rPr>
          <w:sz w:val="21"/>
        </w:rPr>
        <w:id w:val="-899827400"/>
      </w:sdtPr>
      <w:sdtEndPr>
        <w:rPr>
          <w:sz w:val="21"/>
        </w:rPr>
      </w:sdtEndPr>
      <w:sdtContent>
        <w:r>
          <w:rPr>
            <w:sz w:val="21"/>
          </w:rPr>
          <w:fldChar w:fldCharType="begin"/>
        </w:r>
        <w:r>
          <w:rPr>
            <w:sz w:val="21"/>
          </w:rPr>
          <w:instrText xml:space="preserve">PAGE   \* MERGEFORMAT</w:instrText>
        </w:r>
        <w:r>
          <w:rPr>
            <w:sz w:val="21"/>
          </w:rPr>
          <w:fldChar w:fldCharType="separate"/>
        </w:r>
        <w:r>
          <w:t>1</w:t>
        </w:r>
        <w:r>
          <w:rPr>
            <w:sz w:val="21"/>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0068B7" w:sz="12" w:space="2"/>
      </w:pBdr>
      <w:spacing w:line="264" w:lineRule="auto"/>
      <w:ind w:firstLine="0" w:firstLineChars="0"/>
      <w:jc w:val="both"/>
      <w:rPr>
        <w:rFonts w:eastAsia="黑体"/>
        <w:b/>
        <w:color w:val="0068B7"/>
        <w:sz w:val="21"/>
      </w:rPr>
    </w:pPr>
    <w:r>
      <w:rPr>
        <w:rFonts w:hint="eastAsia" w:eastAsia="黑体"/>
        <w:b/>
        <w:color w:val="0068B7"/>
        <w:sz w:val="21"/>
      </w:rPr>
      <w:t>晋江经济开发区安东园工业污水处理厂特许经营项目 招标              招标             投标文件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firstLine="400" w:firstLineChars="200"/>
      <w:jc w:val="left"/>
      <w:rPr>
        <w:sz w:val="16"/>
      </w:rPr>
    </w:pPr>
    <w:r>
      <w:rPr>
        <w:rFonts w:hint="eastAsia"/>
        <w:sz w:val="20"/>
        <w:szCs w:val="21"/>
        <w:lang w:eastAsia="zh-CN"/>
      </w:rPr>
      <w:t>登封市环嵩山旅游公路改建工程PPP项目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t xml:space="preserve"> </w:t>
    </w:r>
    <w:r>
      <w:rPr>
        <w:rFonts w:hint="eastAsia"/>
        <w:sz w:val="20"/>
      </w:rPr>
      <w:t>第一卷</w:t>
    </w:r>
    <w:r>
      <w:rPr>
        <w:sz w:val="20"/>
      </w:rPr>
      <w:t xml:space="preserve">    </w:t>
    </w:r>
    <w:r>
      <w:rPr>
        <w:rFonts w:hint="eastAsia"/>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left"/>
    </w:pPr>
    <w:r>
      <w:rPr>
        <w:rFonts w:hint="eastAsia"/>
      </w:rPr>
      <w:t xml:space="preserve"> </w:t>
    </w:r>
    <w:r>
      <w:rPr>
        <w:rFonts w:hint="eastAsia"/>
        <w:sz w:val="20"/>
        <w:lang w:eastAsia="zh-CN"/>
      </w:rPr>
      <w:t>登封市环嵩山旅游公路改建工程PPP项目</w:t>
    </w:r>
    <w:r>
      <w:rPr>
        <w:rFonts w:hint="eastAsia"/>
      </w:rPr>
      <w:t xml:space="preserve">   </w:t>
    </w:r>
    <w:r>
      <w:t xml:space="preserve">          </w:t>
    </w:r>
    <w:r>
      <w:rPr>
        <w:rFonts w:hint="eastAsia"/>
        <w:sz w:val="20"/>
      </w:rPr>
      <w:t>第二卷</w:t>
    </w:r>
    <w:r>
      <w:rPr>
        <w:sz w:val="20"/>
      </w:rPr>
      <w:t xml:space="preserve">    </w:t>
    </w:r>
    <w:r>
      <w:rPr>
        <w:rFonts w:hint="eastAsia"/>
        <w:sz w:val="20"/>
      </w:rPr>
      <w:t>PPP协议</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left"/>
    </w:pPr>
    <w:r>
      <w:rPr>
        <w:rFonts w:hint="eastAsia"/>
      </w:rPr>
      <w:t xml:space="preserve"> </w:t>
    </w:r>
    <w:r>
      <w:rPr>
        <w:rFonts w:hint="eastAsia"/>
        <w:sz w:val="20"/>
        <w:lang w:eastAsia="zh-CN"/>
      </w:rPr>
      <w:t>登封市环嵩山旅游公路改建工程PPP项目</w:t>
    </w:r>
    <w:r>
      <w:rPr>
        <w:rFonts w:hint="eastAsia"/>
      </w:rPr>
      <w:t xml:space="preserve"> </w:t>
    </w:r>
    <w:r>
      <w:t xml:space="preserve">    </w:t>
    </w:r>
    <w:r>
      <w:rPr>
        <w:rFonts w:hint="eastAsia"/>
      </w:rPr>
      <w:t xml:space="preserve"> </w:t>
    </w:r>
    <w:r>
      <w:t xml:space="preserve">  </w:t>
    </w:r>
    <w:r>
      <w:rPr>
        <w:rFonts w:hint="eastAsia"/>
        <w:sz w:val="20"/>
      </w:rPr>
      <w:t>第三卷</w:t>
    </w:r>
    <w:r>
      <w:rPr>
        <w:sz w:val="20"/>
      </w:rPr>
      <w:t xml:space="preserve">    </w:t>
    </w:r>
    <w:r>
      <w:rPr>
        <w:rFonts w:hint="eastAsia"/>
        <w:sz w:val="20"/>
      </w:rPr>
      <w:t>项目公司股东协议</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AAB1"/>
    <w:multiLevelType w:val="singleLevel"/>
    <w:tmpl w:val="099EAAB1"/>
    <w:lvl w:ilvl="0" w:tentative="0">
      <w:start w:val="2"/>
      <w:numFmt w:val="decimal"/>
      <w:suff w:val="nothing"/>
      <w:lvlText w:val="（%1）"/>
      <w:lvlJc w:val="left"/>
    </w:lvl>
  </w:abstractNum>
  <w:abstractNum w:abstractNumId="1">
    <w:nsid w:val="2C324549"/>
    <w:multiLevelType w:val="multilevel"/>
    <w:tmpl w:val="2C324549"/>
    <w:lvl w:ilvl="0" w:tentative="0">
      <w:start w:val="1"/>
      <w:numFmt w:val="japaneseCounting"/>
      <w:lvlText w:val="（%1）"/>
      <w:lvlJc w:val="left"/>
      <w:pPr>
        <w:ind w:left="1402" w:hanging="960"/>
      </w:pPr>
      <w:rPr>
        <w:rFonts w:hint="default"/>
      </w:rPr>
    </w:lvl>
    <w:lvl w:ilvl="1" w:tentative="0">
      <w:start w:val="1"/>
      <w:numFmt w:val="lowerLetter"/>
      <w:lvlText w:val="%2)"/>
      <w:lvlJc w:val="left"/>
      <w:pPr>
        <w:tabs>
          <w:tab w:val="left" w:pos="1282"/>
        </w:tabs>
        <w:ind w:left="1282" w:hanging="420"/>
      </w:pPr>
      <w:rPr>
        <w:rFonts w:cs="Times New Roman"/>
      </w:rPr>
    </w:lvl>
    <w:lvl w:ilvl="2" w:tentative="0">
      <w:start w:val="1"/>
      <w:numFmt w:val="lowerRoman"/>
      <w:lvlText w:val="%3."/>
      <w:lvlJc w:val="right"/>
      <w:pPr>
        <w:tabs>
          <w:tab w:val="left" w:pos="1702"/>
        </w:tabs>
        <w:ind w:left="1702" w:hanging="420"/>
      </w:pPr>
      <w:rPr>
        <w:rFonts w:cs="Times New Roman"/>
      </w:rPr>
    </w:lvl>
    <w:lvl w:ilvl="3" w:tentative="0">
      <w:start w:val="1"/>
      <w:numFmt w:val="decimal"/>
      <w:lvlText w:val="%4."/>
      <w:lvlJc w:val="left"/>
      <w:pPr>
        <w:tabs>
          <w:tab w:val="left" w:pos="2122"/>
        </w:tabs>
        <w:ind w:left="2122" w:hanging="420"/>
      </w:pPr>
      <w:rPr>
        <w:rFonts w:cs="Times New Roman"/>
      </w:rPr>
    </w:lvl>
    <w:lvl w:ilvl="4" w:tentative="0">
      <w:start w:val="1"/>
      <w:numFmt w:val="lowerLetter"/>
      <w:lvlText w:val="%5)"/>
      <w:lvlJc w:val="left"/>
      <w:pPr>
        <w:tabs>
          <w:tab w:val="left" w:pos="2542"/>
        </w:tabs>
        <w:ind w:left="2542" w:hanging="420"/>
      </w:pPr>
      <w:rPr>
        <w:rFonts w:cs="Times New Roman"/>
      </w:rPr>
    </w:lvl>
    <w:lvl w:ilvl="5" w:tentative="0">
      <w:start w:val="1"/>
      <w:numFmt w:val="lowerRoman"/>
      <w:lvlText w:val="%6."/>
      <w:lvlJc w:val="right"/>
      <w:pPr>
        <w:tabs>
          <w:tab w:val="left" w:pos="2962"/>
        </w:tabs>
        <w:ind w:left="2962" w:hanging="420"/>
      </w:pPr>
      <w:rPr>
        <w:rFonts w:cs="Times New Roman"/>
      </w:rPr>
    </w:lvl>
    <w:lvl w:ilvl="6" w:tentative="0">
      <w:start w:val="1"/>
      <w:numFmt w:val="decimal"/>
      <w:lvlText w:val="%7."/>
      <w:lvlJc w:val="left"/>
      <w:pPr>
        <w:tabs>
          <w:tab w:val="left" w:pos="3382"/>
        </w:tabs>
        <w:ind w:left="3382" w:hanging="420"/>
      </w:pPr>
      <w:rPr>
        <w:rFonts w:cs="Times New Roman"/>
      </w:rPr>
    </w:lvl>
    <w:lvl w:ilvl="7" w:tentative="0">
      <w:start w:val="1"/>
      <w:numFmt w:val="lowerLetter"/>
      <w:lvlText w:val="%8)"/>
      <w:lvlJc w:val="left"/>
      <w:pPr>
        <w:tabs>
          <w:tab w:val="left" w:pos="3802"/>
        </w:tabs>
        <w:ind w:left="3802" w:hanging="420"/>
      </w:pPr>
      <w:rPr>
        <w:rFonts w:cs="Times New Roman"/>
      </w:rPr>
    </w:lvl>
    <w:lvl w:ilvl="8" w:tentative="0">
      <w:start w:val="1"/>
      <w:numFmt w:val="lowerRoman"/>
      <w:lvlText w:val="%9."/>
      <w:lvlJc w:val="right"/>
      <w:pPr>
        <w:tabs>
          <w:tab w:val="left" w:pos="4222"/>
        </w:tabs>
        <w:ind w:left="4222" w:hanging="420"/>
      </w:pPr>
      <w:rPr>
        <w:rFonts w:cs="Times New Roman"/>
      </w:rPr>
    </w:lvl>
  </w:abstractNum>
  <w:abstractNum w:abstractNumId="2">
    <w:nsid w:val="623B4625"/>
    <w:multiLevelType w:val="multilevel"/>
    <w:tmpl w:val="623B4625"/>
    <w:lvl w:ilvl="0" w:tentative="0">
      <w:start w:val="1"/>
      <w:numFmt w:val="chineseCountingThousand"/>
      <w:pStyle w:val="7"/>
      <w:lvlText w:val="第%1章  "/>
      <w:lvlJc w:val="left"/>
      <w:pPr>
        <w:ind w:left="432" w:hanging="432"/>
      </w:pPr>
      <w:rPr>
        <w:rFonts w:hint="default" w:ascii="Arial" w:hAnsi="Arial" w:eastAsia="宋体"/>
        <w:b/>
        <w:i w:val="0"/>
        <w:sz w:val="44"/>
      </w:rPr>
    </w:lvl>
    <w:lvl w:ilvl="1" w:tentative="0">
      <w:start w:val="1"/>
      <w:numFmt w:val="decimal"/>
      <w:pStyle w:val="8"/>
      <w:lvlText w:val="%2"/>
      <w:lvlJc w:val="left"/>
      <w:pPr>
        <w:ind w:left="576" w:hanging="576"/>
      </w:pPr>
      <w:rPr>
        <w:rFonts w:hint="default" w:ascii="Arial" w:hAnsi="Arial" w:eastAsia="宋体"/>
        <w:b/>
        <w:i w:val="0"/>
        <w:sz w:val="28"/>
      </w:rPr>
    </w:lvl>
    <w:lvl w:ilvl="2" w:tentative="0">
      <w:start w:val="1"/>
      <w:numFmt w:val="decimal"/>
      <w:pStyle w:val="9"/>
      <w:lvlText w:val="%2.%3"/>
      <w:lvlJc w:val="left"/>
      <w:pPr>
        <w:ind w:left="720" w:hanging="720"/>
      </w:pPr>
      <w:rPr>
        <w:rFonts w:hint="default" w:ascii="Arial" w:hAnsi="Arial" w:eastAsia="宋体"/>
        <w:b w:val="0"/>
        <w:i w:val="0"/>
        <w:sz w:val="24"/>
      </w:rPr>
    </w:lvl>
    <w:lvl w:ilvl="3" w:tentative="0">
      <w:start w:val="1"/>
      <w:numFmt w:val="decimal"/>
      <w:pStyle w:val="10"/>
      <w:lvlText w:val="%2.%3.%4"/>
      <w:lvlJc w:val="left"/>
      <w:pPr>
        <w:ind w:left="864" w:hanging="864"/>
      </w:pPr>
      <w:rPr>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11"/>
      <w:lvlText w:val="%2.%3.%4.%5"/>
      <w:lvlJc w:val="left"/>
      <w:pPr>
        <w:ind w:left="1008" w:hanging="1008"/>
      </w:pPr>
      <w:rPr>
        <w:rFonts w:hint="default" w:ascii="Arial" w:hAnsi="Arial" w:eastAsia="宋体"/>
        <w:b w:val="0"/>
        <w:i w:val="0"/>
        <w:sz w:val="28"/>
      </w:rPr>
    </w:lvl>
    <w:lvl w:ilvl="5" w:tentative="0">
      <w:start w:val="1"/>
      <w:numFmt w:val="decimal"/>
      <w:pStyle w:val="12"/>
      <w:lvlText w:val="（%6）"/>
      <w:lvlJc w:val="left"/>
      <w:pPr>
        <w:ind w:left="227" w:hanging="227"/>
      </w:pPr>
      <w:rPr>
        <w:rFonts w:hint="eastAsia"/>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13"/>
      <w:lvlText w:val="%7）"/>
      <w:lvlJc w:val="left"/>
      <w:pPr>
        <w:ind w:left="1296" w:hanging="1296"/>
      </w:pPr>
      <w:rPr>
        <w:rFonts w:hint="default" w:ascii="Arial" w:hAnsi="Arial" w:eastAsia="宋体"/>
        <w:b w:val="0"/>
        <w:i w:val="0"/>
        <w:sz w:val="28"/>
      </w:rPr>
    </w:lvl>
    <w:lvl w:ilvl="7" w:tentative="0">
      <w:start w:val="1"/>
      <w:numFmt w:val="lowerLetter"/>
      <w:pStyle w:val="14"/>
      <w:lvlText w:val="%8"/>
      <w:lvlJc w:val="left"/>
      <w:pPr>
        <w:ind w:left="1440" w:hanging="1440"/>
      </w:pPr>
      <w:rPr>
        <w:rFonts w:hint="default" w:ascii="Arial" w:hAnsi="Arial" w:eastAsia="宋体"/>
        <w:b w:val="0"/>
        <w:i w:val="0"/>
        <w:sz w:val="28"/>
      </w:rPr>
    </w:lvl>
    <w:lvl w:ilvl="8" w:tentative="0">
      <w:start w:val="1"/>
      <w:numFmt w:val="bullet"/>
      <w:pStyle w:val="15"/>
      <w:lvlText w:val=""/>
      <w:lvlJc w:val="left"/>
      <w:pPr>
        <w:ind w:left="1584" w:hanging="1584"/>
      </w:pPr>
      <w:rPr>
        <w:rFonts w:hint="default" w:ascii="Wingdings" w:hAnsi="Wingdings" w:eastAsia="宋体"/>
        <w:b w:val="0"/>
        <w:i w:val="0"/>
        <w:sz w:val="28"/>
      </w:rPr>
    </w:lvl>
  </w:abstractNum>
  <w:abstractNum w:abstractNumId="3">
    <w:nsid w:val="7B734726"/>
    <w:multiLevelType w:val="multilevel"/>
    <w:tmpl w:val="7B734726"/>
    <w:lvl w:ilvl="0" w:tentative="0">
      <w:start w:val="1"/>
      <w:numFmt w:val="japaneseCounting"/>
      <w:lvlText w:val="（%1）"/>
      <w:lvlJc w:val="left"/>
      <w:pPr>
        <w:ind w:left="1402" w:hanging="960"/>
      </w:pPr>
      <w:rPr>
        <w:rFonts w:hint="default"/>
      </w:rPr>
    </w:lvl>
    <w:lvl w:ilvl="1" w:tentative="0">
      <w:start w:val="1"/>
      <w:numFmt w:val="lowerLetter"/>
      <w:lvlText w:val="%2)"/>
      <w:lvlJc w:val="left"/>
      <w:pPr>
        <w:tabs>
          <w:tab w:val="left" w:pos="1282"/>
        </w:tabs>
        <w:ind w:left="1282" w:hanging="420"/>
      </w:pPr>
      <w:rPr>
        <w:rFonts w:cs="Times New Roman"/>
      </w:rPr>
    </w:lvl>
    <w:lvl w:ilvl="2" w:tentative="0">
      <w:start w:val="1"/>
      <w:numFmt w:val="lowerRoman"/>
      <w:lvlText w:val="%3."/>
      <w:lvlJc w:val="right"/>
      <w:pPr>
        <w:tabs>
          <w:tab w:val="left" w:pos="1702"/>
        </w:tabs>
        <w:ind w:left="1702" w:hanging="420"/>
      </w:pPr>
      <w:rPr>
        <w:rFonts w:cs="Times New Roman"/>
      </w:rPr>
    </w:lvl>
    <w:lvl w:ilvl="3" w:tentative="0">
      <w:start w:val="1"/>
      <w:numFmt w:val="decimal"/>
      <w:lvlText w:val="%4."/>
      <w:lvlJc w:val="left"/>
      <w:pPr>
        <w:tabs>
          <w:tab w:val="left" w:pos="2122"/>
        </w:tabs>
        <w:ind w:left="2122" w:hanging="420"/>
      </w:pPr>
      <w:rPr>
        <w:rFonts w:cs="Times New Roman"/>
      </w:rPr>
    </w:lvl>
    <w:lvl w:ilvl="4" w:tentative="0">
      <w:start w:val="1"/>
      <w:numFmt w:val="lowerLetter"/>
      <w:lvlText w:val="%5)"/>
      <w:lvlJc w:val="left"/>
      <w:pPr>
        <w:tabs>
          <w:tab w:val="left" w:pos="2542"/>
        </w:tabs>
        <w:ind w:left="2542" w:hanging="420"/>
      </w:pPr>
      <w:rPr>
        <w:rFonts w:cs="Times New Roman"/>
      </w:rPr>
    </w:lvl>
    <w:lvl w:ilvl="5" w:tentative="0">
      <w:start w:val="1"/>
      <w:numFmt w:val="lowerRoman"/>
      <w:lvlText w:val="%6."/>
      <w:lvlJc w:val="right"/>
      <w:pPr>
        <w:tabs>
          <w:tab w:val="left" w:pos="2962"/>
        </w:tabs>
        <w:ind w:left="2962" w:hanging="420"/>
      </w:pPr>
      <w:rPr>
        <w:rFonts w:cs="Times New Roman"/>
      </w:rPr>
    </w:lvl>
    <w:lvl w:ilvl="6" w:tentative="0">
      <w:start w:val="1"/>
      <w:numFmt w:val="decimal"/>
      <w:lvlText w:val="%7."/>
      <w:lvlJc w:val="left"/>
      <w:pPr>
        <w:tabs>
          <w:tab w:val="left" w:pos="3382"/>
        </w:tabs>
        <w:ind w:left="3382" w:hanging="420"/>
      </w:pPr>
      <w:rPr>
        <w:rFonts w:cs="Times New Roman"/>
      </w:rPr>
    </w:lvl>
    <w:lvl w:ilvl="7" w:tentative="0">
      <w:start w:val="1"/>
      <w:numFmt w:val="lowerLetter"/>
      <w:lvlText w:val="%8)"/>
      <w:lvlJc w:val="left"/>
      <w:pPr>
        <w:tabs>
          <w:tab w:val="left" w:pos="3802"/>
        </w:tabs>
        <w:ind w:left="3802" w:hanging="420"/>
      </w:pPr>
      <w:rPr>
        <w:rFonts w:cs="Times New Roman"/>
      </w:rPr>
    </w:lvl>
    <w:lvl w:ilvl="8" w:tentative="0">
      <w:start w:val="1"/>
      <w:numFmt w:val="lowerRoman"/>
      <w:lvlText w:val="%9."/>
      <w:lvlJc w:val="right"/>
      <w:pPr>
        <w:tabs>
          <w:tab w:val="left" w:pos="4222"/>
        </w:tabs>
        <w:ind w:left="4222"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E7"/>
    <w:rsid w:val="000178D5"/>
    <w:rsid w:val="001D0EC0"/>
    <w:rsid w:val="0048229C"/>
    <w:rsid w:val="005F1BE7"/>
    <w:rsid w:val="006F4777"/>
    <w:rsid w:val="008804EC"/>
    <w:rsid w:val="008D6372"/>
    <w:rsid w:val="008F2089"/>
    <w:rsid w:val="00920FD9"/>
    <w:rsid w:val="00A74924"/>
    <w:rsid w:val="00C12760"/>
    <w:rsid w:val="00C62A6E"/>
    <w:rsid w:val="00D37E3F"/>
    <w:rsid w:val="00ED3EA7"/>
    <w:rsid w:val="00FE4974"/>
    <w:rsid w:val="012B3393"/>
    <w:rsid w:val="014E75F2"/>
    <w:rsid w:val="01704947"/>
    <w:rsid w:val="018D73D9"/>
    <w:rsid w:val="03553184"/>
    <w:rsid w:val="03882ACD"/>
    <w:rsid w:val="03BE4B6B"/>
    <w:rsid w:val="0481267D"/>
    <w:rsid w:val="05381A7E"/>
    <w:rsid w:val="05CA51AF"/>
    <w:rsid w:val="06174ECE"/>
    <w:rsid w:val="062F693F"/>
    <w:rsid w:val="065E2312"/>
    <w:rsid w:val="08B8088B"/>
    <w:rsid w:val="08BB5845"/>
    <w:rsid w:val="09296E11"/>
    <w:rsid w:val="0B673CCC"/>
    <w:rsid w:val="0BB07D7B"/>
    <w:rsid w:val="0C002A9A"/>
    <w:rsid w:val="0CBC2681"/>
    <w:rsid w:val="0CCA03F6"/>
    <w:rsid w:val="0CCA0984"/>
    <w:rsid w:val="0E9E07AA"/>
    <w:rsid w:val="0FB72157"/>
    <w:rsid w:val="1034098D"/>
    <w:rsid w:val="10B97F19"/>
    <w:rsid w:val="11654689"/>
    <w:rsid w:val="11AB3A23"/>
    <w:rsid w:val="13EF368E"/>
    <w:rsid w:val="142F1981"/>
    <w:rsid w:val="14425A03"/>
    <w:rsid w:val="151E6FB4"/>
    <w:rsid w:val="1573665E"/>
    <w:rsid w:val="15ED1ECE"/>
    <w:rsid w:val="16F544A3"/>
    <w:rsid w:val="180D02B9"/>
    <w:rsid w:val="196B3712"/>
    <w:rsid w:val="199C16E0"/>
    <w:rsid w:val="1A60064E"/>
    <w:rsid w:val="1A722F70"/>
    <w:rsid w:val="1C4254AB"/>
    <w:rsid w:val="227316A6"/>
    <w:rsid w:val="23613946"/>
    <w:rsid w:val="23E83EC6"/>
    <w:rsid w:val="23EA624C"/>
    <w:rsid w:val="24121231"/>
    <w:rsid w:val="260D348F"/>
    <w:rsid w:val="26CA204F"/>
    <w:rsid w:val="27342EA4"/>
    <w:rsid w:val="284D41D5"/>
    <w:rsid w:val="284F1865"/>
    <w:rsid w:val="29294049"/>
    <w:rsid w:val="2A817E9F"/>
    <w:rsid w:val="2A8F3035"/>
    <w:rsid w:val="2AD23CC1"/>
    <w:rsid w:val="2B6975A3"/>
    <w:rsid w:val="2D074F06"/>
    <w:rsid w:val="2DE44EEE"/>
    <w:rsid w:val="2E0E4FB7"/>
    <w:rsid w:val="2E236337"/>
    <w:rsid w:val="2EF373AC"/>
    <w:rsid w:val="2FA80403"/>
    <w:rsid w:val="303B6A58"/>
    <w:rsid w:val="30C47658"/>
    <w:rsid w:val="30CE5C9A"/>
    <w:rsid w:val="30D14F53"/>
    <w:rsid w:val="31002970"/>
    <w:rsid w:val="31082714"/>
    <w:rsid w:val="31A70047"/>
    <w:rsid w:val="31AA64E6"/>
    <w:rsid w:val="34001536"/>
    <w:rsid w:val="35F4755C"/>
    <w:rsid w:val="361741DE"/>
    <w:rsid w:val="36E13E08"/>
    <w:rsid w:val="374440EC"/>
    <w:rsid w:val="37B56F64"/>
    <w:rsid w:val="37CE6C6C"/>
    <w:rsid w:val="37D65D25"/>
    <w:rsid w:val="390B35B2"/>
    <w:rsid w:val="3960257F"/>
    <w:rsid w:val="39DA4FC1"/>
    <w:rsid w:val="3A584934"/>
    <w:rsid w:val="3AA729CE"/>
    <w:rsid w:val="3B87357F"/>
    <w:rsid w:val="3C720032"/>
    <w:rsid w:val="3C8829A4"/>
    <w:rsid w:val="3CAF6630"/>
    <w:rsid w:val="3D7725E5"/>
    <w:rsid w:val="3DAC67DC"/>
    <w:rsid w:val="3E812B83"/>
    <w:rsid w:val="402E05C0"/>
    <w:rsid w:val="40E10523"/>
    <w:rsid w:val="410139C0"/>
    <w:rsid w:val="4203049F"/>
    <w:rsid w:val="42A211E5"/>
    <w:rsid w:val="430664E0"/>
    <w:rsid w:val="4433765D"/>
    <w:rsid w:val="44572551"/>
    <w:rsid w:val="44E83911"/>
    <w:rsid w:val="44F40A52"/>
    <w:rsid w:val="450D6A20"/>
    <w:rsid w:val="46CA6C9F"/>
    <w:rsid w:val="47A901CA"/>
    <w:rsid w:val="47BC38FF"/>
    <w:rsid w:val="489C0655"/>
    <w:rsid w:val="494F2825"/>
    <w:rsid w:val="49E35D44"/>
    <w:rsid w:val="4AD03419"/>
    <w:rsid w:val="4BAE01E0"/>
    <w:rsid w:val="4C2E3D3E"/>
    <w:rsid w:val="4D364766"/>
    <w:rsid w:val="4D463A3B"/>
    <w:rsid w:val="4F9A5F30"/>
    <w:rsid w:val="50D02785"/>
    <w:rsid w:val="513F7FE8"/>
    <w:rsid w:val="516A1333"/>
    <w:rsid w:val="518F7595"/>
    <w:rsid w:val="51BD519E"/>
    <w:rsid w:val="539B3725"/>
    <w:rsid w:val="546E42A5"/>
    <w:rsid w:val="553126BC"/>
    <w:rsid w:val="55A74DE7"/>
    <w:rsid w:val="55C25E47"/>
    <w:rsid w:val="56736A98"/>
    <w:rsid w:val="56857DBE"/>
    <w:rsid w:val="579B1168"/>
    <w:rsid w:val="59A446A4"/>
    <w:rsid w:val="5A9C0439"/>
    <w:rsid w:val="5AF85D31"/>
    <w:rsid w:val="5B502EE3"/>
    <w:rsid w:val="5B65223F"/>
    <w:rsid w:val="5B9B534F"/>
    <w:rsid w:val="5BD514DE"/>
    <w:rsid w:val="5C2915CE"/>
    <w:rsid w:val="5CB31B9F"/>
    <w:rsid w:val="5D357E94"/>
    <w:rsid w:val="5D47746F"/>
    <w:rsid w:val="5F2C1661"/>
    <w:rsid w:val="5F5805FC"/>
    <w:rsid w:val="5F9B74E8"/>
    <w:rsid w:val="60590732"/>
    <w:rsid w:val="60AE0D1E"/>
    <w:rsid w:val="617A7506"/>
    <w:rsid w:val="63FE7C3D"/>
    <w:rsid w:val="646F4CB1"/>
    <w:rsid w:val="656C7212"/>
    <w:rsid w:val="65FB4611"/>
    <w:rsid w:val="6657394B"/>
    <w:rsid w:val="669205AF"/>
    <w:rsid w:val="66CF435E"/>
    <w:rsid w:val="679B70EB"/>
    <w:rsid w:val="684157AA"/>
    <w:rsid w:val="69183EC6"/>
    <w:rsid w:val="6ACE6064"/>
    <w:rsid w:val="6AEF4877"/>
    <w:rsid w:val="6BBC4FD7"/>
    <w:rsid w:val="6BF1248E"/>
    <w:rsid w:val="6C86749F"/>
    <w:rsid w:val="6CB5242E"/>
    <w:rsid w:val="6D2F3BA2"/>
    <w:rsid w:val="6E4C2C3E"/>
    <w:rsid w:val="6EEC5AFA"/>
    <w:rsid w:val="6F891F4D"/>
    <w:rsid w:val="6FAC37C9"/>
    <w:rsid w:val="70935B93"/>
    <w:rsid w:val="70E640B2"/>
    <w:rsid w:val="7136342D"/>
    <w:rsid w:val="713C39FC"/>
    <w:rsid w:val="735516A7"/>
    <w:rsid w:val="738E66EF"/>
    <w:rsid w:val="73F55D00"/>
    <w:rsid w:val="74915731"/>
    <w:rsid w:val="75675DE2"/>
    <w:rsid w:val="759717E8"/>
    <w:rsid w:val="75C728B8"/>
    <w:rsid w:val="75EC5B94"/>
    <w:rsid w:val="76032584"/>
    <w:rsid w:val="76463B38"/>
    <w:rsid w:val="76A979E2"/>
    <w:rsid w:val="79791EF8"/>
    <w:rsid w:val="79916144"/>
    <w:rsid w:val="7A362105"/>
    <w:rsid w:val="7A8749E7"/>
    <w:rsid w:val="7AA63D2F"/>
    <w:rsid w:val="7B626A8E"/>
    <w:rsid w:val="7B9B02FD"/>
    <w:rsid w:val="7C8C11CD"/>
    <w:rsid w:val="7CC64D63"/>
    <w:rsid w:val="7CCF2EBF"/>
    <w:rsid w:val="7EC02AE7"/>
    <w:rsid w:val="7ED8623F"/>
    <w:rsid w:val="7F387B10"/>
    <w:rsid w:val="7FB26CBC"/>
    <w:rsid w:val="7FBE3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Arial" w:hAnsi="Arial" w:eastAsia="宋体" w:cstheme="minorBidi"/>
      <w:kern w:val="2"/>
      <w:sz w:val="24"/>
      <w:szCs w:val="22"/>
      <w:lang w:val="en-US" w:eastAsia="zh-CN" w:bidi="ar-SA"/>
    </w:rPr>
  </w:style>
  <w:style w:type="paragraph" w:styleId="7">
    <w:name w:val="heading 1"/>
    <w:basedOn w:val="1"/>
    <w:next w:val="1"/>
    <w:link w:val="48"/>
    <w:qFormat/>
    <w:uiPriority w:val="9"/>
    <w:pPr>
      <w:keepNext/>
      <w:keepLines/>
      <w:numPr>
        <w:ilvl w:val="0"/>
        <w:numId w:val="1"/>
      </w:numPr>
      <w:tabs>
        <w:tab w:val="left" w:pos="280"/>
      </w:tabs>
      <w:spacing w:before="360" w:after="240"/>
      <w:ind w:firstLine="0" w:firstLineChars="0"/>
      <w:jc w:val="center"/>
      <w:outlineLvl w:val="0"/>
    </w:pPr>
    <w:rPr>
      <w:b/>
      <w:bCs/>
      <w:kern w:val="44"/>
      <w:sz w:val="44"/>
      <w:szCs w:val="44"/>
    </w:rPr>
  </w:style>
  <w:style w:type="paragraph" w:styleId="8">
    <w:name w:val="heading 2"/>
    <w:basedOn w:val="1"/>
    <w:next w:val="1"/>
    <w:link w:val="49"/>
    <w:unhideWhenUsed/>
    <w:qFormat/>
    <w:uiPriority w:val="9"/>
    <w:pPr>
      <w:keepNext/>
      <w:keepLines/>
      <w:numPr>
        <w:ilvl w:val="1"/>
        <w:numId w:val="1"/>
      </w:numPr>
      <w:tabs>
        <w:tab w:val="left" w:pos="0"/>
        <w:tab w:val="left" w:pos="280"/>
      </w:tabs>
      <w:spacing w:before="360" w:after="120"/>
      <w:ind w:firstLine="0" w:firstLineChars="0"/>
      <w:jc w:val="left"/>
      <w:outlineLvl w:val="1"/>
    </w:pPr>
    <w:rPr>
      <w:rFonts w:cstheme="majorBidi"/>
      <w:b/>
      <w:bCs/>
      <w:szCs w:val="32"/>
    </w:rPr>
  </w:style>
  <w:style w:type="paragraph" w:styleId="9">
    <w:name w:val="heading 3"/>
    <w:basedOn w:val="1"/>
    <w:next w:val="1"/>
    <w:link w:val="50"/>
    <w:unhideWhenUsed/>
    <w:qFormat/>
    <w:uiPriority w:val="9"/>
    <w:pPr>
      <w:keepNext/>
      <w:keepLines/>
      <w:numPr>
        <w:ilvl w:val="2"/>
        <w:numId w:val="1"/>
      </w:numPr>
      <w:tabs>
        <w:tab w:val="left" w:pos="284"/>
      </w:tabs>
      <w:spacing w:before="240" w:after="120"/>
      <w:ind w:firstLine="0" w:firstLineChars="0"/>
      <w:jc w:val="left"/>
      <w:outlineLvl w:val="2"/>
    </w:pPr>
    <w:rPr>
      <w:b/>
      <w:bCs/>
      <w:szCs w:val="32"/>
    </w:rPr>
  </w:style>
  <w:style w:type="paragraph" w:styleId="10">
    <w:name w:val="heading 4"/>
    <w:basedOn w:val="1"/>
    <w:next w:val="1"/>
    <w:link w:val="51"/>
    <w:unhideWhenUsed/>
    <w:qFormat/>
    <w:uiPriority w:val="9"/>
    <w:pPr>
      <w:keepNext/>
      <w:keepLines/>
      <w:numPr>
        <w:ilvl w:val="3"/>
        <w:numId w:val="1"/>
      </w:numPr>
      <w:spacing w:before="240" w:after="120"/>
      <w:ind w:firstLine="0" w:firstLineChars="0"/>
      <w:jc w:val="left"/>
      <w:outlineLvl w:val="3"/>
    </w:pPr>
    <w:rPr>
      <w:rFonts w:cstheme="majorBidi"/>
      <w:bCs/>
      <w:szCs w:val="28"/>
    </w:rPr>
  </w:style>
  <w:style w:type="paragraph" w:styleId="11">
    <w:name w:val="heading 5"/>
    <w:basedOn w:val="1"/>
    <w:next w:val="1"/>
    <w:link w:val="52"/>
    <w:unhideWhenUsed/>
    <w:qFormat/>
    <w:uiPriority w:val="9"/>
    <w:pPr>
      <w:keepNext/>
      <w:keepLines/>
      <w:numPr>
        <w:ilvl w:val="4"/>
        <w:numId w:val="1"/>
      </w:numPr>
      <w:tabs>
        <w:tab w:val="left" w:pos="280"/>
      </w:tabs>
      <w:spacing w:before="240" w:after="120"/>
      <w:ind w:firstLine="0" w:firstLineChars="0"/>
      <w:jc w:val="left"/>
      <w:outlineLvl w:val="4"/>
    </w:pPr>
    <w:rPr>
      <w:bCs/>
      <w:szCs w:val="28"/>
    </w:rPr>
  </w:style>
  <w:style w:type="paragraph" w:styleId="12">
    <w:name w:val="heading 6"/>
    <w:basedOn w:val="1"/>
    <w:next w:val="1"/>
    <w:link w:val="53"/>
    <w:unhideWhenUsed/>
    <w:qFormat/>
    <w:uiPriority w:val="9"/>
    <w:pPr>
      <w:keepNext/>
      <w:keepLines/>
      <w:numPr>
        <w:ilvl w:val="5"/>
        <w:numId w:val="1"/>
      </w:numPr>
      <w:ind w:firstLine="0" w:firstLineChars="0"/>
      <w:jc w:val="left"/>
      <w:outlineLvl w:val="5"/>
    </w:pPr>
    <w:rPr>
      <w:rFonts w:cstheme="majorBidi"/>
      <w:bCs/>
      <w:szCs w:val="24"/>
    </w:rPr>
  </w:style>
  <w:style w:type="paragraph" w:styleId="13">
    <w:name w:val="heading 7"/>
    <w:basedOn w:val="1"/>
    <w:next w:val="1"/>
    <w:link w:val="54"/>
    <w:unhideWhenUsed/>
    <w:qFormat/>
    <w:uiPriority w:val="9"/>
    <w:pPr>
      <w:keepNext/>
      <w:keepLines/>
      <w:numPr>
        <w:ilvl w:val="6"/>
        <w:numId w:val="1"/>
      </w:numPr>
      <w:ind w:firstLine="0" w:firstLineChars="0"/>
      <w:jc w:val="left"/>
      <w:outlineLvl w:val="6"/>
    </w:pPr>
    <w:rPr>
      <w:bCs/>
      <w:szCs w:val="24"/>
    </w:rPr>
  </w:style>
  <w:style w:type="paragraph" w:styleId="14">
    <w:name w:val="heading 8"/>
    <w:basedOn w:val="1"/>
    <w:next w:val="1"/>
    <w:link w:val="55"/>
    <w:unhideWhenUsed/>
    <w:qFormat/>
    <w:uiPriority w:val="9"/>
    <w:pPr>
      <w:keepNext/>
      <w:keepLines/>
      <w:numPr>
        <w:ilvl w:val="7"/>
        <w:numId w:val="1"/>
      </w:numPr>
      <w:ind w:firstLine="0" w:firstLineChars="0"/>
      <w:jc w:val="left"/>
      <w:outlineLvl w:val="7"/>
    </w:pPr>
    <w:rPr>
      <w:rFonts w:cstheme="majorBidi"/>
      <w:szCs w:val="24"/>
    </w:rPr>
  </w:style>
  <w:style w:type="paragraph" w:styleId="15">
    <w:name w:val="heading 9"/>
    <w:basedOn w:val="1"/>
    <w:next w:val="1"/>
    <w:link w:val="56"/>
    <w:unhideWhenUsed/>
    <w:qFormat/>
    <w:uiPriority w:val="9"/>
    <w:pPr>
      <w:keepNext/>
      <w:keepLines/>
      <w:numPr>
        <w:ilvl w:val="8"/>
        <w:numId w:val="1"/>
      </w:numPr>
      <w:ind w:firstLine="0" w:firstLineChars="0"/>
      <w:jc w:val="left"/>
      <w:outlineLvl w:val="8"/>
    </w:pPr>
    <w:rPr>
      <w:rFonts w:asciiTheme="majorHAnsi" w:hAnsiTheme="majorHAnsi" w:eastAsiaTheme="majorEastAsia" w:cstheme="majorBidi"/>
      <w:sz w:val="21"/>
      <w:szCs w:val="21"/>
    </w:rPr>
  </w:style>
  <w:style w:type="character" w:default="1" w:styleId="31">
    <w:name w:val="Default Paragraph Font"/>
    <w:unhideWhenUsed/>
    <w:qFormat/>
    <w:uiPriority w:val="1"/>
  </w:style>
  <w:style w:type="table" w:default="1" w:styleId="4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next w:val="5"/>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Body Text 2"/>
    <w:basedOn w:val="1"/>
    <w:unhideWhenUsed/>
    <w:qFormat/>
    <w:uiPriority w:val="99"/>
    <w:pPr>
      <w:spacing w:after="120" w:line="480" w:lineRule="auto"/>
    </w:pPr>
    <w:rPr>
      <w:szCs w:val="20"/>
    </w:rPr>
  </w:style>
  <w:style w:type="paragraph" w:styleId="5">
    <w:name w:val="Body Text First Indent 2"/>
    <w:basedOn w:val="6"/>
    <w:unhideWhenUsed/>
    <w:qFormat/>
    <w:uiPriority w:val="99"/>
    <w:pPr>
      <w:ind w:firstLine="420"/>
    </w:pPr>
  </w:style>
  <w:style w:type="paragraph" w:styleId="6">
    <w:name w:val="Body Text Indent"/>
    <w:basedOn w:val="1"/>
    <w:unhideWhenUsed/>
    <w:qFormat/>
    <w:uiPriority w:val="99"/>
    <w:pPr>
      <w:autoSpaceDE w:val="0"/>
      <w:autoSpaceDN w:val="0"/>
      <w:ind w:firstLine="735"/>
    </w:pPr>
    <w:rPr>
      <w:color w:val="000000"/>
      <w:kern w:val="0"/>
      <w:sz w:val="24"/>
      <w:szCs w:val="20"/>
    </w:rPr>
  </w:style>
  <w:style w:type="paragraph" w:styleId="16">
    <w:name w:val="toc 7"/>
    <w:basedOn w:val="1"/>
    <w:next w:val="1"/>
    <w:unhideWhenUsed/>
    <w:qFormat/>
    <w:uiPriority w:val="39"/>
    <w:pPr>
      <w:ind w:left="1680"/>
      <w:jc w:val="left"/>
    </w:pPr>
    <w:rPr>
      <w:rFonts w:asciiTheme="minorHAnsi" w:hAnsiTheme="minorHAnsi" w:cstheme="minorHAnsi"/>
      <w:sz w:val="18"/>
      <w:szCs w:val="18"/>
    </w:rPr>
  </w:style>
  <w:style w:type="paragraph" w:styleId="17">
    <w:name w:val="Normal Indent"/>
    <w:basedOn w:val="1"/>
    <w:semiHidden/>
    <w:qFormat/>
    <w:uiPriority w:val="0"/>
    <w:pPr>
      <w:ind w:firstLine="420"/>
    </w:pPr>
    <w:rPr>
      <w:rFonts w:ascii="Times New Roman" w:hAnsi="Times New Roman" w:eastAsia="仿宋" w:cs="Times New Roman"/>
      <w:sz w:val="21"/>
      <w:szCs w:val="24"/>
    </w:rPr>
  </w:style>
  <w:style w:type="paragraph" w:styleId="18">
    <w:name w:val="toc 5"/>
    <w:basedOn w:val="1"/>
    <w:next w:val="1"/>
    <w:unhideWhenUsed/>
    <w:qFormat/>
    <w:uiPriority w:val="39"/>
    <w:pPr>
      <w:ind w:left="1120"/>
      <w:jc w:val="left"/>
    </w:pPr>
    <w:rPr>
      <w:rFonts w:asciiTheme="minorHAnsi" w:hAnsiTheme="minorHAnsi" w:cstheme="minorHAnsi"/>
      <w:sz w:val="18"/>
      <w:szCs w:val="18"/>
    </w:rPr>
  </w:style>
  <w:style w:type="paragraph" w:styleId="19">
    <w:name w:val="toc 3"/>
    <w:basedOn w:val="1"/>
    <w:next w:val="1"/>
    <w:unhideWhenUsed/>
    <w:qFormat/>
    <w:uiPriority w:val="39"/>
    <w:pPr>
      <w:tabs>
        <w:tab w:val="left" w:pos="1276"/>
        <w:tab w:val="right" w:leader="dot" w:pos="8720"/>
      </w:tabs>
      <w:ind w:left="560" w:firstLine="0" w:firstLineChars="0"/>
      <w:jc w:val="left"/>
    </w:pPr>
    <w:rPr>
      <w:rFonts w:asciiTheme="minorHAnsi" w:hAnsiTheme="minorHAnsi" w:cstheme="minorHAnsi"/>
      <w:i/>
      <w:iCs/>
      <w:sz w:val="20"/>
      <w:szCs w:val="20"/>
    </w:rPr>
  </w:style>
  <w:style w:type="paragraph" w:styleId="20">
    <w:name w:val="toc 8"/>
    <w:basedOn w:val="1"/>
    <w:next w:val="1"/>
    <w:unhideWhenUsed/>
    <w:qFormat/>
    <w:uiPriority w:val="39"/>
    <w:pPr>
      <w:ind w:left="1960"/>
      <w:jc w:val="left"/>
    </w:pPr>
    <w:rPr>
      <w:rFonts w:asciiTheme="minorHAnsi" w:hAnsiTheme="minorHAnsi" w:cstheme="minorHAnsi"/>
      <w:sz w:val="18"/>
      <w:szCs w:val="18"/>
    </w:rPr>
  </w:style>
  <w:style w:type="paragraph" w:styleId="21">
    <w:name w:val="Date"/>
    <w:basedOn w:val="1"/>
    <w:next w:val="1"/>
    <w:link w:val="71"/>
    <w:unhideWhenUsed/>
    <w:qFormat/>
    <w:uiPriority w:val="99"/>
    <w:pPr>
      <w:ind w:left="100" w:leftChars="2500"/>
    </w:pPr>
  </w:style>
  <w:style w:type="paragraph" w:styleId="22">
    <w:name w:val="Balloon Text"/>
    <w:basedOn w:val="1"/>
    <w:link w:val="57"/>
    <w:unhideWhenUsed/>
    <w:qFormat/>
    <w:uiPriority w:val="99"/>
    <w:pPr>
      <w:spacing w:line="240" w:lineRule="auto"/>
    </w:pPr>
    <w:rPr>
      <w:sz w:val="18"/>
      <w:szCs w:val="18"/>
    </w:rPr>
  </w:style>
  <w:style w:type="paragraph" w:styleId="23">
    <w:name w:val="footer"/>
    <w:basedOn w:val="1"/>
    <w:link w:val="47"/>
    <w:unhideWhenUsed/>
    <w:qFormat/>
    <w:uiPriority w:val="99"/>
    <w:pPr>
      <w:tabs>
        <w:tab w:val="center" w:pos="4153"/>
        <w:tab w:val="right" w:pos="8306"/>
      </w:tabs>
      <w:snapToGrid w:val="0"/>
      <w:jc w:val="left"/>
    </w:pPr>
    <w:rPr>
      <w:sz w:val="18"/>
      <w:szCs w:val="18"/>
    </w:rPr>
  </w:style>
  <w:style w:type="paragraph" w:styleId="24">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left" w:pos="1418"/>
        <w:tab w:val="right" w:leader="dot" w:pos="8720"/>
      </w:tabs>
      <w:ind w:firstLine="0" w:firstLineChars="0"/>
      <w:jc w:val="left"/>
    </w:pPr>
    <w:rPr>
      <w:rFonts w:cstheme="minorHAnsi"/>
      <w:b/>
      <w:bCs/>
      <w:caps/>
      <w:szCs w:val="20"/>
    </w:rPr>
  </w:style>
  <w:style w:type="paragraph" w:styleId="26">
    <w:name w:val="toc 4"/>
    <w:basedOn w:val="1"/>
    <w:next w:val="1"/>
    <w:unhideWhenUsed/>
    <w:qFormat/>
    <w:uiPriority w:val="39"/>
    <w:pPr>
      <w:ind w:left="840"/>
      <w:jc w:val="left"/>
    </w:pPr>
    <w:rPr>
      <w:rFonts w:asciiTheme="minorHAnsi" w:hAnsiTheme="minorHAnsi" w:cstheme="minorHAnsi"/>
      <w:sz w:val="18"/>
      <w:szCs w:val="18"/>
    </w:rPr>
  </w:style>
  <w:style w:type="paragraph" w:styleId="27">
    <w:name w:val="toc 6"/>
    <w:basedOn w:val="1"/>
    <w:next w:val="1"/>
    <w:unhideWhenUsed/>
    <w:qFormat/>
    <w:uiPriority w:val="39"/>
    <w:pPr>
      <w:ind w:left="1400"/>
      <w:jc w:val="left"/>
    </w:pPr>
    <w:rPr>
      <w:rFonts w:asciiTheme="minorHAnsi" w:hAnsiTheme="minorHAnsi" w:cstheme="minorHAnsi"/>
      <w:sz w:val="18"/>
      <w:szCs w:val="18"/>
    </w:rPr>
  </w:style>
  <w:style w:type="paragraph" w:styleId="28">
    <w:name w:val="toc 2"/>
    <w:basedOn w:val="1"/>
    <w:next w:val="1"/>
    <w:unhideWhenUsed/>
    <w:qFormat/>
    <w:uiPriority w:val="39"/>
    <w:pPr>
      <w:tabs>
        <w:tab w:val="left" w:pos="709"/>
        <w:tab w:val="right" w:leader="dot" w:pos="8720"/>
      </w:tabs>
      <w:ind w:left="280" w:firstLine="0" w:firstLineChars="0"/>
      <w:jc w:val="left"/>
    </w:pPr>
    <w:rPr>
      <w:rFonts w:asciiTheme="minorHAnsi" w:hAnsiTheme="minorHAnsi" w:cstheme="minorHAnsi"/>
      <w:smallCaps/>
      <w:sz w:val="20"/>
      <w:szCs w:val="20"/>
    </w:rPr>
  </w:style>
  <w:style w:type="paragraph" w:styleId="29">
    <w:name w:val="toc 9"/>
    <w:basedOn w:val="1"/>
    <w:next w:val="1"/>
    <w:unhideWhenUsed/>
    <w:qFormat/>
    <w:uiPriority w:val="39"/>
    <w:pPr>
      <w:ind w:left="2240"/>
      <w:jc w:val="left"/>
    </w:pPr>
    <w:rPr>
      <w:rFonts w:asciiTheme="minorHAnsi" w:hAnsiTheme="minorHAnsi" w:cstheme="minorHAnsi"/>
      <w:sz w:val="18"/>
      <w:szCs w:val="18"/>
    </w:rPr>
  </w:style>
  <w:style w:type="paragraph" w:styleId="30">
    <w:name w:val="Normal (Web)"/>
    <w:basedOn w:val="1"/>
    <w:unhideWhenUsed/>
    <w:qFormat/>
    <w:uiPriority w:val="99"/>
    <w:pPr>
      <w:spacing w:before="100" w:beforeAutospacing="1" w:after="100" w:afterAutospacing="1"/>
      <w:jc w:val="left"/>
    </w:pPr>
    <w:rPr>
      <w:rFonts w:ascii="宋体" w:hAnsi="宋体" w:cs="宋体"/>
      <w:sz w:val="24"/>
      <w:szCs w:val="24"/>
      <w:lang w:val="en-US" w:eastAsia="zh-CN"/>
    </w:rPr>
  </w:style>
  <w:style w:type="character" w:styleId="32">
    <w:name w:val="Strong"/>
    <w:basedOn w:val="31"/>
    <w:qFormat/>
    <w:uiPriority w:val="22"/>
    <w:rPr>
      <w:b/>
      <w:color w:val="FFFFFF"/>
      <w:shd w:val="clear" w:fill="048FD2"/>
    </w:rPr>
  </w:style>
  <w:style w:type="character" w:styleId="33">
    <w:name w:val="FollowedHyperlink"/>
    <w:basedOn w:val="31"/>
    <w:semiHidden/>
    <w:unhideWhenUsed/>
    <w:qFormat/>
    <w:uiPriority w:val="99"/>
    <w:rPr>
      <w:color w:val="800080"/>
      <w:u w:val="none"/>
    </w:rPr>
  </w:style>
  <w:style w:type="character" w:styleId="34">
    <w:name w:val="Emphasis"/>
    <w:basedOn w:val="31"/>
    <w:qFormat/>
    <w:uiPriority w:val="20"/>
    <w:rPr>
      <w:b/>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style>
  <w:style w:type="character" w:styleId="38">
    <w:name w:val="HTML Variable"/>
    <w:basedOn w:val="31"/>
    <w:semiHidden/>
    <w:unhideWhenUsed/>
    <w:qFormat/>
    <w:uiPriority w:val="99"/>
  </w:style>
  <w:style w:type="character" w:styleId="39">
    <w:name w:val="Hyperlink"/>
    <w:basedOn w:val="31"/>
    <w:unhideWhenUsed/>
    <w:qFormat/>
    <w:uiPriority w:val="99"/>
    <w:rPr>
      <w:color w:val="0563C1" w:themeColor="hyperlink"/>
      <w:u w:val="single"/>
      <w14:textFill>
        <w14:solidFill>
          <w14:schemeClr w14:val="hlink"/>
        </w14:solidFill>
      </w14:textFill>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HTML Cite"/>
    <w:basedOn w:val="31"/>
    <w:semiHidden/>
    <w:unhideWhenUsed/>
    <w:qFormat/>
    <w:uiPriority w:val="99"/>
  </w:style>
  <w:style w:type="character" w:styleId="42">
    <w:name w:val="HTML Keyboard"/>
    <w:basedOn w:val="31"/>
    <w:semiHidden/>
    <w:unhideWhenUsed/>
    <w:qFormat/>
    <w:uiPriority w:val="99"/>
    <w:rPr>
      <w:rFonts w:hint="default" w:ascii="monospace" w:hAnsi="monospace" w:eastAsia="monospace" w:cs="monospace"/>
      <w:sz w:val="20"/>
    </w:rPr>
  </w:style>
  <w:style w:type="character" w:styleId="43">
    <w:name w:val="HTML Sample"/>
    <w:basedOn w:val="31"/>
    <w:semiHidden/>
    <w:unhideWhenUsed/>
    <w:qFormat/>
    <w:uiPriority w:val="99"/>
    <w:rPr>
      <w:rFonts w:ascii="monospace" w:hAnsi="monospace" w:eastAsia="monospace" w:cs="monospace"/>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6">
    <w:name w:val="页眉 Char"/>
    <w:basedOn w:val="31"/>
    <w:link w:val="24"/>
    <w:qFormat/>
    <w:uiPriority w:val="99"/>
    <w:rPr>
      <w:sz w:val="18"/>
      <w:szCs w:val="18"/>
    </w:rPr>
  </w:style>
  <w:style w:type="character" w:customStyle="1" w:styleId="47">
    <w:name w:val="页脚 Char"/>
    <w:basedOn w:val="31"/>
    <w:link w:val="23"/>
    <w:qFormat/>
    <w:uiPriority w:val="99"/>
    <w:rPr>
      <w:sz w:val="18"/>
      <w:szCs w:val="18"/>
    </w:rPr>
  </w:style>
  <w:style w:type="character" w:customStyle="1" w:styleId="48">
    <w:name w:val="标题 1 Char"/>
    <w:basedOn w:val="31"/>
    <w:link w:val="7"/>
    <w:qFormat/>
    <w:uiPriority w:val="9"/>
    <w:rPr>
      <w:rFonts w:ascii="Arial" w:hAnsi="Arial" w:eastAsia="宋体"/>
      <w:b/>
      <w:bCs/>
      <w:kern w:val="44"/>
      <w:sz w:val="44"/>
      <w:szCs w:val="44"/>
    </w:rPr>
  </w:style>
  <w:style w:type="character" w:customStyle="1" w:styleId="49">
    <w:name w:val="标题 2 Char"/>
    <w:basedOn w:val="31"/>
    <w:link w:val="8"/>
    <w:qFormat/>
    <w:uiPriority w:val="9"/>
    <w:rPr>
      <w:rFonts w:ascii="Arial" w:hAnsi="Arial" w:eastAsia="宋体" w:cstheme="majorBidi"/>
      <w:b/>
      <w:bCs/>
      <w:sz w:val="24"/>
      <w:szCs w:val="32"/>
    </w:rPr>
  </w:style>
  <w:style w:type="character" w:customStyle="1" w:styleId="50">
    <w:name w:val="标题 3 Char"/>
    <w:basedOn w:val="31"/>
    <w:link w:val="9"/>
    <w:qFormat/>
    <w:uiPriority w:val="9"/>
    <w:rPr>
      <w:rFonts w:ascii="Arial" w:hAnsi="Arial" w:eastAsia="宋体"/>
      <w:b/>
      <w:bCs/>
      <w:sz w:val="24"/>
      <w:szCs w:val="32"/>
    </w:rPr>
  </w:style>
  <w:style w:type="character" w:customStyle="1" w:styleId="51">
    <w:name w:val="标题 4 Char"/>
    <w:basedOn w:val="31"/>
    <w:link w:val="10"/>
    <w:qFormat/>
    <w:uiPriority w:val="9"/>
    <w:rPr>
      <w:rFonts w:ascii="Arial" w:hAnsi="Arial" w:eastAsia="宋体" w:cstheme="majorBidi"/>
      <w:bCs/>
      <w:sz w:val="24"/>
      <w:szCs w:val="28"/>
    </w:rPr>
  </w:style>
  <w:style w:type="character" w:customStyle="1" w:styleId="52">
    <w:name w:val="标题 5 Char"/>
    <w:basedOn w:val="31"/>
    <w:link w:val="11"/>
    <w:qFormat/>
    <w:uiPriority w:val="9"/>
    <w:rPr>
      <w:rFonts w:ascii="Arial" w:hAnsi="Arial" w:eastAsia="宋体"/>
      <w:bCs/>
      <w:sz w:val="24"/>
      <w:szCs w:val="28"/>
    </w:rPr>
  </w:style>
  <w:style w:type="character" w:customStyle="1" w:styleId="53">
    <w:name w:val="标题 6 Char"/>
    <w:basedOn w:val="31"/>
    <w:link w:val="12"/>
    <w:qFormat/>
    <w:uiPriority w:val="9"/>
    <w:rPr>
      <w:rFonts w:ascii="Arial" w:hAnsi="Arial" w:eastAsia="宋体" w:cstheme="majorBidi"/>
      <w:bCs/>
      <w:sz w:val="24"/>
      <w:szCs w:val="24"/>
    </w:rPr>
  </w:style>
  <w:style w:type="character" w:customStyle="1" w:styleId="54">
    <w:name w:val="标题 7 Char"/>
    <w:basedOn w:val="31"/>
    <w:link w:val="13"/>
    <w:qFormat/>
    <w:uiPriority w:val="9"/>
    <w:rPr>
      <w:rFonts w:ascii="Arial" w:hAnsi="Arial" w:eastAsia="宋体"/>
      <w:bCs/>
      <w:sz w:val="24"/>
      <w:szCs w:val="24"/>
    </w:rPr>
  </w:style>
  <w:style w:type="character" w:customStyle="1" w:styleId="55">
    <w:name w:val="标题 8 Char"/>
    <w:basedOn w:val="31"/>
    <w:link w:val="14"/>
    <w:qFormat/>
    <w:uiPriority w:val="9"/>
    <w:rPr>
      <w:rFonts w:ascii="Arial" w:hAnsi="Arial" w:eastAsia="宋体" w:cstheme="majorBidi"/>
      <w:sz w:val="24"/>
      <w:szCs w:val="24"/>
    </w:rPr>
  </w:style>
  <w:style w:type="character" w:customStyle="1" w:styleId="56">
    <w:name w:val="标题 9 Char"/>
    <w:basedOn w:val="31"/>
    <w:link w:val="15"/>
    <w:semiHidden/>
    <w:qFormat/>
    <w:uiPriority w:val="9"/>
    <w:rPr>
      <w:rFonts w:asciiTheme="majorHAnsi" w:hAnsiTheme="majorHAnsi" w:eastAsiaTheme="majorEastAsia" w:cstheme="majorBidi"/>
      <w:szCs w:val="21"/>
    </w:rPr>
  </w:style>
  <w:style w:type="character" w:customStyle="1" w:styleId="57">
    <w:name w:val="批注框文本 Char"/>
    <w:basedOn w:val="31"/>
    <w:link w:val="22"/>
    <w:semiHidden/>
    <w:qFormat/>
    <w:uiPriority w:val="99"/>
    <w:rPr>
      <w:rFonts w:ascii="Arial" w:hAnsi="Arial" w:eastAsia="宋体"/>
      <w:sz w:val="18"/>
      <w:szCs w:val="18"/>
    </w:rPr>
  </w:style>
  <w:style w:type="paragraph" w:customStyle="1" w:styleId="58">
    <w:name w:val="标题-2"/>
    <w:basedOn w:val="8"/>
    <w:link w:val="60"/>
    <w:qFormat/>
    <w:uiPriority w:val="0"/>
    <w:pPr>
      <w:ind w:hanging="576"/>
    </w:pPr>
  </w:style>
  <w:style w:type="paragraph" w:customStyle="1" w:styleId="59">
    <w:name w:val="标题-3"/>
    <w:basedOn w:val="9"/>
    <w:link w:val="62"/>
    <w:qFormat/>
    <w:uiPriority w:val="0"/>
    <w:pPr>
      <w:ind w:hanging="720"/>
    </w:pPr>
    <w:rPr>
      <w:b w:val="0"/>
    </w:rPr>
  </w:style>
  <w:style w:type="character" w:customStyle="1" w:styleId="60">
    <w:name w:val="标题-2 Char"/>
    <w:basedOn w:val="49"/>
    <w:link w:val="58"/>
    <w:qFormat/>
    <w:uiPriority w:val="0"/>
    <w:rPr>
      <w:rFonts w:ascii="Arial" w:hAnsi="Arial" w:eastAsia="宋体" w:cstheme="majorBidi"/>
      <w:sz w:val="24"/>
      <w:szCs w:val="32"/>
    </w:rPr>
  </w:style>
  <w:style w:type="paragraph" w:customStyle="1" w:styleId="61">
    <w:name w:val="标题-4"/>
    <w:basedOn w:val="10"/>
    <w:link w:val="64"/>
    <w:qFormat/>
    <w:uiPriority w:val="0"/>
    <w:pPr>
      <w:ind w:hanging="864"/>
      <w:jc w:val="both"/>
    </w:pPr>
  </w:style>
  <w:style w:type="character" w:customStyle="1" w:styleId="62">
    <w:name w:val="标题-3 Char"/>
    <w:basedOn w:val="50"/>
    <w:link w:val="59"/>
    <w:qFormat/>
    <w:uiPriority w:val="0"/>
    <w:rPr>
      <w:rFonts w:ascii="Arial" w:hAnsi="Arial" w:eastAsia="宋体"/>
      <w:b w:val="0"/>
      <w:sz w:val="24"/>
      <w:szCs w:val="32"/>
    </w:rPr>
  </w:style>
  <w:style w:type="paragraph" w:customStyle="1" w:styleId="63">
    <w:name w:val="标题-5"/>
    <w:basedOn w:val="12"/>
    <w:link w:val="65"/>
    <w:qFormat/>
    <w:uiPriority w:val="0"/>
    <w:pPr>
      <w:tabs>
        <w:tab w:val="left" w:pos="0"/>
        <w:tab w:val="left" w:pos="1200"/>
      </w:tabs>
      <w:ind w:left="567"/>
    </w:pPr>
  </w:style>
  <w:style w:type="character" w:customStyle="1" w:styleId="64">
    <w:name w:val="标题-4 Char"/>
    <w:basedOn w:val="51"/>
    <w:link w:val="61"/>
    <w:qFormat/>
    <w:uiPriority w:val="0"/>
    <w:rPr>
      <w:rFonts w:ascii="Arial" w:hAnsi="Arial" w:eastAsia="宋体" w:cstheme="majorBidi"/>
      <w:sz w:val="24"/>
      <w:szCs w:val="28"/>
    </w:rPr>
  </w:style>
  <w:style w:type="character" w:customStyle="1" w:styleId="65">
    <w:name w:val="标题-5 Char"/>
    <w:basedOn w:val="53"/>
    <w:link w:val="63"/>
    <w:qFormat/>
    <w:uiPriority w:val="0"/>
    <w:rPr>
      <w:rFonts w:ascii="Arial" w:hAnsi="Arial" w:eastAsia="宋体" w:cstheme="majorBidi"/>
      <w:sz w:val="24"/>
      <w:szCs w:val="24"/>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列出段落1"/>
    <w:basedOn w:val="1"/>
    <w:link w:val="68"/>
    <w:qFormat/>
    <w:uiPriority w:val="34"/>
    <w:pPr>
      <w:spacing w:line="240" w:lineRule="auto"/>
      <w:ind w:firstLine="420"/>
    </w:pPr>
    <w:rPr>
      <w:rFonts w:asciiTheme="minorHAnsi" w:hAnsiTheme="minorHAnsi" w:eastAsiaTheme="minorEastAsia"/>
      <w:sz w:val="21"/>
    </w:rPr>
  </w:style>
  <w:style w:type="character" w:customStyle="1" w:styleId="68">
    <w:name w:val="列出段落 Char"/>
    <w:basedOn w:val="31"/>
    <w:link w:val="67"/>
    <w:qFormat/>
    <w:uiPriority w:val="34"/>
  </w:style>
  <w:style w:type="paragraph" w:customStyle="1" w:styleId="69">
    <w:name w:val="样式1"/>
    <w:basedOn w:val="1"/>
    <w:link w:val="70"/>
    <w:qFormat/>
    <w:uiPriority w:val="0"/>
    <w:pPr>
      <w:spacing w:line="440" w:lineRule="exact"/>
      <w:ind w:firstLine="480"/>
    </w:pPr>
    <w:rPr>
      <w:rFonts w:ascii="Times New Roman" w:hAnsi="Times New Roman" w:cs="Times New Roman"/>
      <w:szCs w:val="24"/>
    </w:rPr>
  </w:style>
  <w:style w:type="character" w:customStyle="1" w:styleId="70">
    <w:name w:val="样式1 Char"/>
    <w:basedOn w:val="31"/>
    <w:link w:val="69"/>
    <w:qFormat/>
    <w:uiPriority w:val="0"/>
    <w:rPr>
      <w:rFonts w:ascii="Times New Roman" w:hAnsi="Times New Roman" w:eastAsia="宋体" w:cs="Times New Roman"/>
      <w:sz w:val="24"/>
      <w:szCs w:val="24"/>
    </w:rPr>
  </w:style>
  <w:style w:type="character" w:customStyle="1" w:styleId="71">
    <w:name w:val="日期 Char"/>
    <w:basedOn w:val="31"/>
    <w:link w:val="21"/>
    <w:semiHidden/>
    <w:qFormat/>
    <w:uiPriority w:val="99"/>
    <w:rPr>
      <w:rFonts w:ascii="Arial" w:hAnsi="Arial" w:eastAsia="宋体"/>
      <w:sz w:val="24"/>
    </w:rPr>
  </w:style>
  <w:style w:type="paragraph" w:customStyle="1" w:styleId="72">
    <w:name w:val="修订1"/>
    <w:hidden/>
    <w:semiHidden/>
    <w:qFormat/>
    <w:uiPriority w:val="99"/>
    <w:rPr>
      <w:rFonts w:ascii="Arial" w:hAnsi="Arial"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jpeg"/><Relationship Id="rId13" Type="http://schemas.openxmlformats.org/officeDocument/2006/relationships/image" Target="file:///C:\DOCUME~1\ADMINI~1\LOCALS~1\Temp\msohtml1\01\clip_image001.jpg" TargetMode="Externa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40133</Words>
  <Characters>44796</Characters>
  <Lines>313</Lines>
  <Paragraphs>88</Paragraphs>
  <TotalTime>1</TotalTime>
  <ScaleCrop>false</ScaleCrop>
  <LinksUpToDate>false</LinksUpToDate>
  <CharactersWithSpaces>47138</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2015-12-04T11:31:00Z</dcterms:created>
  <dc:creator>fengyu</dc:creator>
  <cp:lastModifiedBy>晸</cp:lastModifiedBy>
  <cp:lastPrinted>2018-04-25T06:42:00Z</cp:lastPrinted>
  <dcterms:modified xsi:type="dcterms:W3CDTF">2018-05-07T03:44:05Z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