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333333"/>
          <w:sz w:val="44"/>
          <w:szCs w:val="44"/>
          <w:lang w:eastAsia="zh-CN"/>
        </w:rPr>
        <w:t>登封</w:t>
      </w:r>
      <w:r>
        <w:rPr>
          <w:rFonts w:ascii="方正小标宋_GBK" w:hAnsi="方正小标宋_GBK" w:eastAsia="方正小标宋_GBK" w:cs="方正小标宋_GBK"/>
          <w:i w:val="0"/>
          <w:iCs w:val="0"/>
          <w:color w:val="333333"/>
          <w:sz w:val="44"/>
          <w:szCs w:val="44"/>
        </w:rPr>
        <w:t>市水利局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333333"/>
          <w:sz w:val="44"/>
          <w:szCs w:val="44"/>
        </w:rPr>
        <w:t>关于进一步规范水利工程投标、履约和质量保证金管理工作的通知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olor w:val="333333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各有关单位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    为贯彻落实国家、省、市深化“放管服”改革和提升营商境有关文件精神，进一步规范我市水利行业缴纳履约保证金的管理，切实减轻企业流动资金的负担，充分发挥保证金在工程建设中的积极作用，为我市水利行业创造良好的发展环境，现就履约保证金管理及质量保证金管理有关事项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olor w:val="333333"/>
          <w:sz w:val="32"/>
          <w:szCs w:val="32"/>
        </w:rPr>
        <w:t>一、规范保证金收取</w:t>
      </w:r>
      <w:r>
        <w:rPr>
          <w:rFonts w:hint="eastAsia" w:ascii="黑体" w:hAnsi="宋体" w:eastAsia="黑体" w:cs="黑体"/>
          <w:i w:val="0"/>
          <w:iCs w:val="0"/>
          <w:color w:val="333333"/>
          <w:sz w:val="32"/>
          <w:szCs w:val="32"/>
        </w:rPr>
        <w:t xml:space="preserve">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招标人要求提交投标、履约和质量保证金的，应当在招标文件或合同中载明，并明确提交方式、数额、返还方式、时间等信息。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（一）投标保证金。招标人应设置投标人可以选择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现金、保函或保证保险等方式缴纳投标保证金，按照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  <w:lang w:eastAsia="zh-CN"/>
        </w:rPr>
        <w:t>上级部门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做好招投标领域相关工作服务要求，工程建设项目投标保证金不超过招标项目估算价的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  <w:lang w:eastAsia="zh-CN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（二）履约保证金。招标人应在招标文件中设置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投标人可以选择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现金、保函或保证保险等方式缴纳履约保证金。鼓励招标人以全国水利建设市场监管平台公示的信用等级为依据，减免中标人的履约保证金缴纳比例。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如：信用评价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AA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级及以上且连续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年无不良行为记录的中标人可相应减免中标合同金额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u w:val="single"/>
          <w:shd w:val="clear" w:fill="FFFFFF"/>
        </w:rPr>
        <w:t xml:space="preserve">   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（最多不超过</w:t>
      </w:r>
      <w:r>
        <w:rPr>
          <w:rFonts w:hint="default" w:ascii="Times New Roman" w:hAnsi="Times New Roman" w:eastAsia="微软雅黑" w:cs="Times New Roman"/>
          <w:i w:val="0"/>
          <w:iCs w:val="0"/>
          <w:color w:val="000000"/>
          <w:sz w:val="32"/>
          <w:szCs w:val="32"/>
          <w:shd w:val="clear" w:fill="FFFFFF"/>
        </w:rPr>
        <w:t>10%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）的履约保证金。（由招标人自行选择）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（三）质量保证金。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发包人应按照合同约定方式预留保证金，保证金总预留比例不得高于工程价款结算总额的3%。在工程项目竣工前，已经缴纳履约保证金的，发包人不得同时预留工程质量保证金。鼓励发包人使用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现金、保函或保证保险等方式收取质量保证金。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olor w:val="333333"/>
          <w:sz w:val="32"/>
          <w:szCs w:val="32"/>
        </w:rPr>
        <w:t>二、推行投标保证金电子保函系统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shd w:val="clear" w:fill="FFFFFF"/>
        </w:rPr>
        <w:t>市公共资源交易中心负责开发我市投标保证金电子保函系统，向社会开放公共资源交易业务系统的保证金电子保函平台标准接口，允许银行、保险公司、专业担保公司与软件开发公司对接。鼓励所有参与招标投标工作的招标人和投标人使用电子保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olor w:val="333333"/>
          <w:sz w:val="32"/>
          <w:szCs w:val="32"/>
        </w:rPr>
        <w:t>三、严格保证金返还时限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（一）投标保证金。投标保证金应在中标公示期结束后的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日内（因投标人提出异议或投诉可能造成重新评标的，在投诉处理完后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日内，但应告知投标人推迟退还投标保证金的原因），退还中标候选人以外的投标人。在中标人与招标人签订合同（如中标人需提交履约保证金，包括中标人已按招标文件规定提交履约保证金）后的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日内、将投标保证金退还中标人以及其他中标候选人。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（二）履约保证金。发包人应根据工程进展及履约情况逐步返还履约保证金，但最迟应在工程竣工验收合格后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天内，全额退还给承包人。未按规定或合同约定返还履约保证金的，保证金收取方应向施工企业支付逾期返还违约金。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（三）质量保证金。承包人认真履行合同约定的责任，到期后，承包人向发包人申请返还质量保证金，发包人在接到承包人返还质量保证金申请后，应于14天内会同承包人按照合同约定的内容进行核实。如无异议，发包人应当按照约定将质量保证金返还给承包人。对返还期限没有约定或者约定不明确的，发包人应当在核实后14天内将保证金返还承包人，逾期未返还的，依法承担违约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符合投标保证金、履约保证金和质量保证金等保证金退付条件的，招标人主动确认，中标人不需提供退付所需资料，即可将保证金退回中标人账户。对于超期退还保证金（含投标保证金、履约保证金和质量保证金）的单位，视其违法违规情况降低信用评价等级，性质恶劣的，暂停在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eastAsia="zh-CN"/>
        </w:rPr>
        <w:t>登封市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进行水利招投标活动。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eastAsia="仿宋" w:cs="Calibri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 </w:t>
      </w: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lang w:val="en-US" w:eastAsia="zh-CN"/>
        </w:rPr>
        <w:t>2021年12月29日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</w:rPr>
        <w:t>                               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DRmMzNjNzY0MmIzNjJhYWVjNDczZTRhOWE0OTMifQ=="/>
  </w:docVars>
  <w:rsids>
    <w:rsidRoot w:val="00000000"/>
    <w:rsid w:val="15DD1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ul_li_a_1"/>
    <w:basedOn w:val="4"/>
    <w:qFormat/>
    <w:uiPriority w:val="0"/>
    <w:rPr>
      <w:color w:val="AF090B"/>
    </w:rPr>
  </w:style>
  <w:style w:type="character" w:customStyle="1" w:styleId="8">
    <w:name w:val="exap"/>
    <w:basedOn w:val="4"/>
    <w:qFormat/>
    <w:uiPriority w:val="0"/>
    <w:rPr>
      <w:sz w:val="27"/>
      <w:szCs w:val="27"/>
    </w:rPr>
  </w:style>
  <w:style w:type="character" w:customStyle="1" w:styleId="9">
    <w:name w:val="a_p_2"/>
    <w:basedOn w:val="4"/>
    <w:qFormat/>
    <w:uiPriority w:val="0"/>
  </w:style>
  <w:style w:type="character" w:customStyle="1" w:styleId="10">
    <w:name w:val="a_p_21"/>
    <w:basedOn w:val="4"/>
    <w:qFormat/>
    <w:uiPriority w:val="0"/>
    <w:rPr>
      <w:sz w:val="27"/>
      <w:szCs w:val="27"/>
    </w:rPr>
  </w:style>
  <w:style w:type="character" w:customStyle="1" w:styleId="11">
    <w:name w:val="on2"/>
    <w:basedOn w:val="4"/>
    <w:qFormat/>
    <w:uiPriority w:val="0"/>
    <w:rPr>
      <w:color w:val="305FB0"/>
    </w:rPr>
  </w:style>
  <w:style w:type="character" w:customStyle="1" w:styleId="12">
    <w:name w:val="on3"/>
    <w:basedOn w:val="4"/>
    <w:qFormat/>
    <w:uiPriority w:val="0"/>
    <w:rPr>
      <w:color w:val="305FB0"/>
    </w:rPr>
  </w:style>
  <w:style w:type="character" w:customStyle="1" w:styleId="13">
    <w:name w:val="a_p_3"/>
    <w:basedOn w:val="4"/>
    <w:qFormat/>
    <w:uiPriority w:val="0"/>
    <w:rPr>
      <w:sz w:val="27"/>
      <w:szCs w:val="27"/>
    </w:rPr>
  </w:style>
  <w:style w:type="character" w:customStyle="1" w:styleId="14">
    <w:name w:val="a_p_1"/>
    <w:basedOn w:val="4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1322</Words>
  <Characters>1451</Characters>
  <Lines>0</Lines>
  <Paragraphs>0</Paragraphs>
  <TotalTime>0</TotalTime>
  <ScaleCrop>false</ScaleCrop>
  <LinksUpToDate>false</LinksUpToDate>
  <CharactersWithSpaces>1455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2023-07-23T03:57:00Z</dcterms:created>
  <dc:creator>桃之夭夭</dc:creator>
  <cp:lastModifiedBy>桃之夭夭</cp:lastModifiedBy>
  <dcterms:modified xsi:type="dcterms:W3CDTF">2023-07-24T00:24:48Z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18BF7D1968A0455A8906A8127EBDE5E5_13</vt:lpwstr>
  </property>
</Properties>
</file>