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ind w:firstLine="0" w:firstLineChars="0"/>
        <w:jc w:val="center"/>
        <w:rPr>
          <w:rFonts w:hint="eastAsia" w:asciiTheme="majorEastAsia" w:hAnsiTheme="majorEastAsia" w:eastAsiaTheme="majorEastAsia" w:cstheme="majorEastAsia"/>
          <w:spacing w:val="-17"/>
          <w:sz w:val="44"/>
          <w:szCs w:val="44"/>
        </w:rPr>
      </w:pPr>
      <w:bookmarkStart w:id="0" w:name="_Toc531878338"/>
      <w:bookmarkStart w:id="1" w:name="OLE_LINK1"/>
      <w:r>
        <w:rPr>
          <w:rFonts w:hint="eastAsia" w:asciiTheme="majorEastAsia" w:hAnsiTheme="majorEastAsia" w:eastAsiaTheme="majorEastAsia" w:cstheme="majorEastAsia"/>
          <w:spacing w:val="-17"/>
          <w:sz w:val="44"/>
          <w:szCs w:val="44"/>
        </w:rPr>
        <w:t>登封市公共资源交易平台</w:t>
      </w:r>
      <w:r>
        <w:rPr>
          <w:rFonts w:hint="eastAsia" w:asciiTheme="majorEastAsia" w:hAnsiTheme="majorEastAsia" w:eastAsiaTheme="majorEastAsia" w:cstheme="majorEastAsia"/>
          <w:spacing w:val="-17"/>
          <w:sz w:val="44"/>
          <w:szCs w:val="44"/>
          <w:lang w:eastAsia="zh-CN"/>
        </w:rPr>
        <w:t>线上</w:t>
      </w:r>
      <w:r>
        <w:rPr>
          <w:rFonts w:hint="eastAsia" w:asciiTheme="majorEastAsia" w:hAnsiTheme="majorEastAsia" w:eastAsiaTheme="majorEastAsia" w:cstheme="majorEastAsia"/>
          <w:spacing w:val="-17"/>
          <w:sz w:val="44"/>
          <w:szCs w:val="44"/>
        </w:rPr>
        <w:t>异议</w:t>
      </w:r>
      <w:r>
        <w:rPr>
          <w:rFonts w:hint="eastAsia" w:asciiTheme="majorEastAsia" w:hAnsiTheme="majorEastAsia" w:eastAsiaTheme="majorEastAsia" w:cstheme="majorEastAsia"/>
          <w:spacing w:val="-17"/>
          <w:sz w:val="44"/>
          <w:szCs w:val="44"/>
          <w:lang w:eastAsia="zh-CN"/>
        </w:rPr>
        <w:t>、</w:t>
      </w:r>
      <w:r>
        <w:rPr>
          <w:rFonts w:hint="eastAsia" w:asciiTheme="majorEastAsia" w:hAnsiTheme="majorEastAsia" w:eastAsiaTheme="majorEastAsia" w:cstheme="majorEastAsia"/>
          <w:spacing w:val="-17"/>
          <w:sz w:val="44"/>
          <w:szCs w:val="44"/>
        </w:rPr>
        <w:t>投诉流程</w:t>
      </w:r>
    </w:p>
    <w:p>
      <w:pPr>
        <w:pStyle w:val="38"/>
        <w:ind w:firstLine="0" w:firstLineChars="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办事指南</w:t>
      </w:r>
    </w:p>
    <w:p>
      <w:pPr>
        <w:pStyle w:val="3"/>
        <w:numPr>
          <w:ilvl w:val="1"/>
          <w:numId w:val="0"/>
        </w:numP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范围</w:t>
      </w:r>
      <w:bookmarkStart w:id="2" w:name="_GoBack"/>
      <w:bookmarkEnd w:id="2"/>
    </w:p>
    <w:p>
      <w:pPr>
        <w:ind w:firstLine="420"/>
        <w:rPr>
          <w:rFonts w:hint="eastAsia" w:ascii="仿宋" w:hAnsi="仿宋" w:eastAsia="仿宋" w:cs="仿宋"/>
          <w:sz w:val="32"/>
          <w:szCs w:val="32"/>
        </w:rPr>
      </w:pPr>
      <w:r>
        <w:rPr>
          <w:rFonts w:hint="eastAsia" w:ascii="仿宋" w:hAnsi="仿宋" w:eastAsia="仿宋" w:cs="仿宋"/>
          <w:sz w:val="32"/>
          <w:szCs w:val="32"/>
        </w:rPr>
        <w:t>本标准规定了登封市公共资源交易中心（以下简称“中心”）项目异议和投诉环节，中心提供服务的流程及规范。</w:t>
      </w:r>
    </w:p>
    <w:p>
      <w:pPr>
        <w:ind w:firstLine="420"/>
        <w:rPr>
          <w:rFonts w:hint="eastAsia" w:ascii="仿宋" w:hAnsi="仿宋" w:eastAsia="仿宋" w:cs="仿宋"/>
          <w:sz w:val="32"/>
          <w:szCs w:val="32"/>
        </w:rPr>
      </w:pPr>
      <w:r>
        <w:rPr>
          <w:rFonts w:hint="eastAsia" w:ascii="仿宋" w:hAnsi="仿宋" w:eastAsia="仿宋" w:cs="仿宋"/>
          <w:sz w:val="32"/>
          <w:szCs w:val="32"/>
        </w:rPr>
        <w:t>本标准适用于进场交易项目的投标人提起异议或投诉、招标人答复异议、项目监管部门处理投诉过程中，中心配合提供服务的流程及规范管理。</w:t>
      </w:r>
    </w:p>
    <w:p>
      <w:pPr>
        <w:pStyle w:val="3"/>
        <w:numPr>
          <w:ilvl w:val="1"/>
          <w:numId w:val="0"/>
        </w:numP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术语和定义</w:t>
      </w:r>
    </w:p>
    <w:p>
      <w:pPr>
        <w:ind w:firstLine="420"/>
        <w:rPr>
          <w:rFonts w:hint="eastAsia" w:ascii="仿宋" w:hAnsi="仿宋" w:eastAsia="仿宋" w:cs="仿宋"/>
          <w:sz w:val="32"/>
          <w:szCs w:val="32"/>
        </w:rPr>
      </w:pPr>
      <w:r>
        <w:rPr>
          <w:rFonts w:hint="eastAsia" w:ascii="仿宋" w:hAnsi="仿宋" w:eastAsia="仿宋" w:cs="仿宋"/>
          <w:sz w:val="32"/>
          <w:szCs w:val="32"/>
        </w:rPr>
        <w:t>下列术语和定义适用于本文件。</w:t>
      </w:r>
    </w:p>
    <w:p>
      <w:pPr>
        <w:ind w:firstLine="420"/>
        <w:rPr>
          <w:rFonts w:hint="eastAsia" w:ascii="楷体" w:hAnsi="楷体" w:eastAsia="楷体" w:cs="楷体"/>
          <w:sz w:val="32"/>
          <w:szCs w:val="32"/>
        </w:rPr>
      </w:pPr>
      <w:r>
        <w:rPr>
          <w:rFonts w:hint="eastAsia" w:ascii="楷体" w:hAnsi="楷体" w:eastAsia="楷体" w:cs="楷体"/>
          <w:sz w:val="32"/>
          <w:szCs w:val="32"/>
        </w:rPr>
        <w:t xml:space="preserve">2.1 招标人  </w:t>
      </w:r>
    </w:p>
    <w:p>
      <w:pPr>
        <w:ind w:firstLine="420"/>
        <w:rPr>
          <w:rFonts w:hint="eastAsia" w:ascii="仿宋" w:hAnsi="仿宋" w:eastAsia="仿宋" w:cs="仿宋"/>
          <w:sz w:val="32"/>
          <w:szCs w:val="32"/>
        </w:rPr>
      </w:pPr>
      <w:r>
        <w:rPr>
          <w:rFonts w:hint="eastAsia" w:ascii="仿宋" w:hAnsi="仿宋" w:eastAsia="仿宋" w:cs="仿宋"/>
          <w:sz w:val="32"/>
          <w:szCs w:val="32"/>
        </w:rPr>
        <w:t xml:space="preserve">本标准所称招标人包括：建设工程项目的招标人、政府采购项目的采购人、产权交易项目的转让方或者租赁方、矿权交易项目的出让方等。     </w:t>
      </w:r>
    </w:p>
    <w:p>
      <w:pPr>
        <w:ind w:firstLine="420"/>
        <w:rPr>
          <w:rFonts w:hint="eastAsia" w:ascii="楷体" w:hAnsi="楷体" w:eastAsia="楷体" w:cs="楷体"/>
          <w:sz w:val="32"/>
          <w:szCs w:val="32"/>
        </w:rPr>
      </w:pPr>
      <w:r>
        <w:rPr>
          <w:rFonts w:hint="eastAsia" w:ascii="楷体" w:hAnsi="楷体" w:eastAsia="楷体" w:cs="楷体"/>
          <w:sz w:val="32"/>
          <w:szCs w:val="32"/>
        </w:rPr>
        <w:t xml:space="preserve">2.2 招标代理机构  </w:t>
      </w:r>
    </w:p>
    <w:p>
      <w:pPr>
        <w:ind w:firstLine="420"/>
        <w:rPr>
          <w:rFonts w:hint="eastAsia" w:ascii="仿宋" w:hAnsi="仿宋" w:eastAsia="仿宋" w:cs="仿宋"/>
          <w:sz w:val="32"/>
          <w:szCs w:val="32"/>
        </w:rPr>
      </w:pPr>
      <w:r>
        <w:rPr>
          <w:rFonts w:hint="eastAsia" w:ascii="仿宋" w:hAnsi="仿宋" w:eastAsia="仿宋" w:cs="仿宋"/>
          <w:sz w:val="32"/>
          <w:szCs w:val="32"/>
        </w:rPr>
        <w:t xml:space="preserve">本标准所称招标代理机构是指与招标人签订委托代理协议，代表招标人组织招标活动并提供相关服务的社会中介组织。     </w:t>
      </w:r>
    </w:p>
    <w:p>
      <w:pPr>
        <w:ind w:firstLine="420"/>
        <w:rPr>
          <w:rFonts w:hint="eastAsia" w:ascii="楷体" w:hAnsi="楷体" w:eastAsia="楷体" w:cs="楷体"/>
          <w:sz w:val="32"/>
          <w:szCs w:val="32"/>
        </w:rPr>
      </w:pPr>
      <w:r>
        <w:rPr>
          <w:rFonts w:hint="eastAsia" w:ascii="楷体" w:hAnsi="楷体" w:eastAsia="楷体" w:cs="楷体"/>
          <w:sz w:val="32"/>
          <w:szCs w:val="32"/>
        </w:rPr>
        <w:t xml:space="preserve">2.3 投标人  </w:t>
      </w:r>
    </w:p>
    <w:p>
      <w:pPr>
        <w:ind w:firstLine="420"/>
        <w:rPr>
          <w:rFonts w:hint="eastAsia" w:ascii="仿宋" w:hAnsi="仿宋" w:eastAsia="仿宋" w:cs="仿宋"/>
          <w:sz w:val="32"/>
          <w:szCs w:val="32"/>
        </w:rPr>
      </w:pPr>
      <w:r>
        <w:rPr>
          <w:rFonts w:hint="eastAsia" w:ascii="仿宋" w:hAnsi="仿宋" w:eastAsia="仿宋" w:cs="仿宋"/>
          <w:sz w:val="32"/>
          <w:szCs w:val="32"/>
        </w:rPr>
        <w:t xml:space="preserve">本标准所称投标人包括：建设工程项目的投标人、政府采购项目的供应商。     </w:t>
      </w:r>
    </w:p>
    <w:p>
      <w:pPr>
        <w:ind w:firstLine="420"/>
        <w:rPr>
          <w:rFonts w:hint="eastAsia" w:ascii="仿宋" w:hAnsi="仿宋" w:eastAsia="仿宋" w:cs="仿宋"/>
          <w:sz w:val="32"/>
          <w:szCs w:val="32"/>
        </w:rPr>
      </w:pPr>
      <w:r>
        <w:rPr>
          <w:rFonts w:hint="eastAsia" w:ascii="楷体" w:hAnsi="楷体" w:eastAsia="楷体" w:cs="楷体"/>
          <w:sz w:val="32"/>
          <w:szCs w:val="32"/>
        </w:rPr>
        <w:t>2.4 异议  本标准所称的异议是指建设工程项目的异议，</w:t>
      </w:r>
      <w:r>
        <w:rPr>
          <w:rFonts w:hint="eastAsia" w:ascii="仿宋" w:hAnsi="仿宋" w:eastAsia="仿宋" w:cs="仿宋"/>
          <w:sz w:val="32"/>
          <w:szCs w:val="32"/>
        </w:rPr>
        <w:t xml:space="preserve">政府采购项目的质疑。 </w:t>
      </w:r>
    </w:p>
    <w:p>
      <w:pPr>
        <w:pStyle w:val="3"/>
        <w:numPr>
          <w:ilvl w:val="1"/>
          <w:numId w:val="0"/>
        </w:numP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责任</w:t>
      </w:r>
    </w:p>
    <w:p>
      <w:pPr>
        <w:ind w:firstLine="420"/>
        <w:rPr>
          <w:rFonts w:hint="eastAsia" w:ascii="仿宋" w:hAnsi="仿宋" w:eastAsia="仿宋" w:cs="仿宋"/>
          <w:sz w:val="32"/>
          <w:szCs w:val="32"/>
        </w:rPr>
      </w:pPr>
      <w:r>
        <w:rPr>
          <w:rFonts w:hint="eastAsia" w:ascii="仿宋" w:hAnsi="仿宋" w:eastAsia="仿宋" w:cs="仿宋"/>
          <w:sz w:val="32"/>
          <w:szCs w:val="32"/>
        </w:rPr>
        <w:t>3.1招标人是异议处理的责任主体。</w:t>
      </w:r>
    </w:p>
    <w:p>
      <w:pPr>
        <w:ind w:firstLine="420"/>
        <w:rPr>
          <w:rFonts w:hint="eastAsia" w:ascii="仿宋" w:hAnsi="仿宋" w:eastAsia="仿宋" w:cs="仿宋"/>
          <w:sz w:val="32"/>
          <w:szCs w:val="32"/>
        </w:rPr>
      </w:pPr>
      <w:r>
        <w:rPr>
          <w:rFonts w:hint="eastAsia" w:ascii="仿宋" w:hAnsi="仿宋" w:eastAsia="仿宋" w:cs="仿宋"/>
          <w:sz w:val="32"/>
          <w:szCs w:val="32"/>
        </w:rPr>
        <w:t xml:space="preserve">3.1项目行政监管部门是投诉处理的责任主体。  </w:t>
      </w:r>
    </w:p>
    <w:p>
      <w:pPr>
        <w:ind w:firstLine="420"/>
        <w:rPr>
          <w:rFonts w:hint="eastAsia" w:ascii="仿宋" w:hAnsi="仿宋" w:eastAsia="仿宋" w:cs="仿宋"/>
          <w:sz w:val="32"/>
          <w:szCs w:val="32"/>
        </w:rPr>
      </w:pPr>
      <w:r>
        <w:rPr>
          <w:rFonts w:hint="eastAsia" w:ascii="仿宋" w:hAnsi="仿宋" w:eastAsia="仿宋" w:cs="仿宋"/>
          <w:sz w:val="32"/>
          <w:szCs w:val="32"/>
        </w:rPr>
        <w:t xml:space="preserve">3.1中心提供异议答复、投诉处理等的配合服务。  </w:t>
      </w:r>
    </w:p>
    <w:p>
      <w:pPr>
        <w:ind w:firstLine="420"/>
        <w:rPr>
          <w:rFonts w:hint="eastAsia" w:ascii="仿宋" w:hAnsi="仿宋" w:eastAsia="仿宋" w:cs="仿宋"/>
          <w:sz w:val="32"/>
          <w:szCs w:val="32"/>
        </w:rPr>
      </w:pPr>
      <w:r>
        <w:rPr>
          <w:rFonts w:hint="eastAsia" w:ascii="仿宋" w:hAnsi="仿宋" w:eastAsia="仿宋" w:cs="仿宋"/>
          <w:sz w:val="32"/>
          <w:szCs w:val="32"/>
        </w:rPr>
        <w:t>3.1中心监督科负责投诉登记备案工作。</w:t>
      </w:r>
    </w:p>
    <w:p>
      <w:pPr>
        <w:pStyle w:val="3"/>
        <w:numPr>
          <w:ilvl w:val="1"/>
          <w:numId w:val="0"/>
        </w:numP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异议</w:t>
      </w:r>
      <w:bookmarkEnd w:id="0"/>
    </w:p>
    <w:p>
      <w:pPr>
        <w:ind w:firstLine="420"/>
        <w:rPr>
          <w:rFonts w:hint="eastAsia" w:ascii="楷体" w:hAnsi="楷体" w:eastAsia="楷体" w:cs="楷体"/>
          <w:sz w:val="32"/>
          <w:szCs w:val="32"/>
        </w:rPr>
      </w:pPr>
      <w:r>
        <w:rPr>
          <w:rFonts w:hint="eastAsia" w:ascii="楷体" w:hAnsi="楷体" w:eastAsia="楷体" w:cs="楷体"/>
          <w:sz w:val="32"/>
          <w:szCs w:val="32"/>
        </w:rPr>
        <w:t>4.1 异议提出</w:t>
      </w:r>
    </w:p>
    <w:p>
      <w:pPr>
        <w:ind w:firstLine="420"/>
        <w:rPr>
          <w:rFonts w:hint="eastAsia" w:ascii="仿宋" w:hAnsi="仿宋" w:eastAsia="仿宋" w:cs="仿宋"/>
          <w:sz w:val="32"/>
          <w:szCs w:val="32"/>
        </w:rPr>
      </w:pPr>
      <w:r>
        <w:rPr>
          <w:rFonts w:hint="eastAsia" w:ascii="仿宋" w:hAnsi="仿宋" w:eastAsia="仿宋" w:cs="仿宋"/>
          <w:b/>
          <w:bCs/>
          <w:sz w:val="32"/>
          <w:szCs w:val="32"/>
        </w:rPr>
        <w:t>第一步：</w:t>
      </w:r>
      <w:r>
        <w:rPr>
          <w:rFonts w:hint="eastAsia" w:ascii="仿宋" w:hAnsi="仿宋" w:eastAsia="仿宋" w:cs="仿宋"/>
          <w:sz w:val="32"/>
          <w:szCs w:val="32"/>
        </w:rPr>
        <w:t>投标人登录交易系统，在相关业务模块中进入【异议】菜单，点击“新增异议”按钮挑选异议项目，如下图所示：</w:t>
      </w:r>
    </w:p>
    <w:p>
      <w:pPr>
        <w:widowControl/>
        <w:jc w:val="left"/>
        <w:rPr>
          <w:szCs w:val="21"/>
        </w:rPr>
      </w:pPr>
      <w:r>
        <w:drawing>
          <wp:inline distT="0" distB="0" distL="0" distR="0">
            <wp:extent cx="5274310" cy="230124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2301240"/>
                    </a:xfrm>
                    <a:prstGeom prst="rect">
                      <a:avLst/>
                    </a:prstGeom>
                  </pic:spPr>
                </pic:pic>
              </a:graphicData>
            </a:graphic>
          </wp:inline>
        </w:drawing>
      </w:r>
    </w:p>
    <w:p>
      <w:pPr>
        <w:ind w:firstLine="420"/>
        <w:rPr>
          <w:rFonts w:hint="eastAsia" w:ascii="仿宋" w:hAnsi="仿宋" w:eastAsia="仿宋" w:cs="仿宋"/>
          <w:sz w:val="32"/>
          <w:szCs w:val="32"/>
        </w:rPr>
      </w:pPr>
      <w:r>
        <w:rPr>
          <w:rFonts w:hint="eastAsia" w:ascii="仿宋" w:hAnsi="仿宋" w:eastAsia="仿宋" w:cs="仿宋"/>
          <w:b/>
          <w:bCs/>
          <w:sz w:val="32"/>
          <w:szCs w:val="32"/>
        </w:rPr>
        <w:t>第二步：</w:t>
      </w:r>
      <w:r>
        <w:rPr>
          <w:rFonts w:hint="eastAsia" w:ascii="仿宋" w:hAnsi="仿宋" w:eastAsia="仿宋" w:cs="仿宋"/>
          <w:sz w:val="32"/>
          <w:szCs w:val="32"/>
        </w:rPr>
        <w:t>在项目异议提交页面，02异议信息中选择异议类别，并填写异议内容及依据和理由，在03相关电子件中上传本次异议扫描件，提交信息即可。</w:t>
      </w:r>
    </w:p>
    <w:p>
      <w:pPr>
        <w:widowControl/>
        <w:jc w:val="left"/>
        <w:rPr>
          <w:szCs w:val="21"/>
        </w:rPr>
      </w:pPr>
      <w:r>
        <w:drawing>
          <wp:inline distT="0" distB="0" distL="0" distR="0">
            <wp:extent cx="5274310" cy="239966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2399665"/>
                    </a:xfrm>
                    <a:prstGeom prst="rect">
                      <a:avLst/>
                    </a:prstGeom>
                  </pic:spPr>
                </pic:pic>
              </a:graphicData>
            </a:graphic>
          </wp:inline>
        </w:drawing>
      </w:r>
    </w:p>
    <w:p>
      <w:pPr>
        <w:widowControl/>
        <w:ind w:firstLine="420"/>
        <w:jc w:val="left"/>
        <w:rPr>
          <w:rFonts w:ascii="Calibri" w:hAnsi="Calibri" w:cs="Calibri"/>
          <w:color w:val="FF0000"/>
          <w:szCs w:val="21"/>
        </w:rPr>
      </w:pPr>
      <w:r>
        <w:rPr>
          <w:rFonts w:hint="eastAsia" w:ascii="Calibri" w:hAnsi="Calibri" w:cs="Calibri"/>
          <w:color w:val="FF0000"/>
          <w:szCs w:val="21"/>
        </w:rPr>
        <w:t>其中：对招标文件有异议的，应当在投标截止时间10日前提出；</w:t>
      </w:r>
    </w:p>
    <w:p>
      <w:pPr>
        <w:widowControl/>
        <w:ind w:left="420" w:firstLine="420"/>
        <w:jc w:val="left"/>
        <w:rPr>
          <w:rFonts w:ascii="Calibri" w:hAnsi="Calibri" w:cs="Calibri"/>
          <w:color w:val="FF0000"/>
          <w:szCs w:val="21"/>
        </w:rPr>
      </w:pPr>
      <w:r>
        <w:rPr>
          <w:rFonts w:hint="eastAsia" w:ascii="Calibri" w:hAnsi="Calibri" w:cs="Calibri"/>
          <w:color w:val="FF0000"/>
          <w:szCs w:val="21"/>
        </w:rPr>
        <w:t>对开标过程有异议的，建议在不见面开标大厅开标时当即提出。</w:t>
      </w:r>
    </w:p>
    <w:p>
      <w:pPr>
        <w:ind w:firstLine="420"/>
        <w:rPr>
          <w:rFonts w:hint="eastAsia" w:ascii="楷体" w:hAnsi="楷体" w:eastAsia="楷体" w:cs="楷体"/>
          <w:sz w:val="32"/>
          <w:szCs w:val="32"/>
        </w:rPr>
      </w:pPr>
      <w:r>
        <w:rPr>
          <w:rFonts w:hint="eastAsia" w:ascii="楷体" w:hAnsi="楷体" w:eastAsia="楷体" w:cs="楷体"/>
          <w:sz w:val="32"/>
          <w:szCs w:val="32"/>
        </w:rPr>
        <w:t>4.2 异议回复</w:t>
      </w:r>
    </w:p>
    <w:p>
      <w:pPr>
        <w:ind w:firstLine="420"/>
        <w:rPr>
          <w:rFonts w:hint="eastAsia" w:ascii="仿宋" w:hAnsi="仿宋" w:eastAsia="仿宋" w:cs="仿宋"/>
          <w:sz w:val="32"/>
          <w:szCs w:val="32"/>
        </w:rPr>
      </w:pPr>
      <w:r>
        <w:rPr>
          <w:rFonts w:hint="eastAsia" w:ascii="仿宋" w:hAnsi="仿宋" w:eastAsia="仿宋" w:cs="仿宋"/>
          <w:b/>
          <w:bCs/>
          <w:sz w:val="32"/>
          <w:szCs w:val="32"/>
        </w:rPr>
        <w:t>第一步：</w:t>
      </w:r>
      <w:r>
        <w:rPr>
          <w:rFonts w:hint="eastAsia" w:ascii="仿宋" w:hAnsi="仿宋" w:eastAsia="仿宋" w:cs="仿宋"/>
          <w:sz w:val="32"/>
          <w:szCs w:val="32"/>
        </w:rPr>
        <w:t>招标人登录交易系统，在相关业务模块特殊情况中进入【异议回复】菜单，系统中默认展示所有未回复的异议信息，如下图所示：</w:t>
      </w:r>
    </w:p>
    <w:p>
      <w:pPr>
        <w:widowControl/>
        <w:jc w:val="left"/>
        <w:rPr>
          <w:rFonts w:ascii="宋体" w:hAnsi="宋体" w:cs="宋体"/>
          <w:kern w:val="0"/>
          <w:szCs w:val="21"/>
        </w:rPr>
      </w:pPr>
      <w:r>
        <w:drawing>
          <wp:inline distT="0" distB="0" distL="0" distR="0">
            <wp:extent cx="5274310" cy="213487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2134870"/>
                    </a:xfrm>
                    <a:prstGeom prst="rect">
                      <a:avLst/>
                    </a:prstGeom>
                  </pic:spPr>
                </pic:pic>
              </a:graphicData>
            </a:graphic>
          </wp:inline>
        </w:drawing>
      </w:r>
    </w:p>
    <w:p>
      <w:pPr>
        <w:ind w:firstLine="420"/>
        <w:rPr>
          <w:rFonts w:hint="eastAsia" w:ascii="仿宋" w:hAnsi="仿宋" w:eastAsia="仿宋" w:cs="仿宋"/>
          <w:sz w:val="32"/>
          <w:szCs w:val="32"/>
        </w:rPr>
      </w:pPr>
      <w:r>
        <w:rPr>
          <w:rFonts w:hint="eastAsia" w:ascii="仿宋" w:hAnsi="仿宋" w:eastAsia="仿宋" w:cs="仿宋"/>
          <w:b/>
          <w:bCs/>
          <w:sz w:val="32"/>
          <w:szCs w:val="32"/>
        </w:rPr>
        <w:t>第二步：</w:t>
      </w:r>
      <w:r>
        <w:rPr>
          <w:rFonts w:hint="eastAsia" w:ascii="仿宋" w:hAnsi="仿宋" w:eastAsia="仿宋" w:cs="仿宋"/>
          <w:sz w:val="32"/>
          <w:szCs w:val="32"/>
        </w:rPr>
        <w:t>在异议回复页面，可以查看本次异议内容及电子件信息，录入处理结果后回复异议即可。</w:t>
      </w:r>
    </w:p>
    <w:p>
      <w:pPr>
        <w:widowControl/>
        <w:jc w:val="left"/>
        <w:rPr>
          <w:rFonts w:ascii="宋体" w:hAnsi="宋体" w:cs="宋体"/>
          <w:kern w:val="0"/>
          <w:szCs w:val="21"/>
        </w:rPr>
      </w:pPr>
      <w:r>
        <w:drawing>
          <wp:inline distT="0" distB="0" distL="0" distR="0">
            <wp:extent cx="5274310" cy="211772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4310" cy="2117725"/>
                    </a:xfrm>
                    <a:prstGeom prst="rect">
                      <a:avLst/>
                    </a:prstGeom>
                  </pic:spPr>
                </pic:pic>
              </a:graphicData>
            </a:graphic>
          </wp:inline>
        </w:drawing>
      </w:r>
    </w:p>
    <w:p>
      <w:pPr>
        <w:widowControl/>
        <w:ind w:firstLine="420"/>
        <w:jc w:val="left"/>
        <w:rPr>
          <w:rFonts w:ascii="Calibri" w:hAnsi="Calibri" w:cs="Calibri"/>
          <w:color w:val="FF0000"/>
          <w:szCs w:val="21"/>
        </w:rPr>
      </w:pPr>
      <w:r>
        <w:rPr>
          <w:rFonts w:hint="eastAsia" w:ascii="Calibri" w:hAnsi="Calibri" w:cs="Calibri"/>
          <w:color w:val="FF0000"/>
          <w:szCs w:val="21"/>
        </w:rPr>
        <w:t>其中：异议应该在３日内进行答复，异议答复前应暂停投投标活动。</w:t>
      </w:r>
    </w:p>
    <w:p>
      <w:pPr>
        <w:pStyle w:val="3"/>
        <w:numPr>
          <w:ilvl w:val="1"/>
          <w:numId w:val="0"/>
        </w:numPr>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五、</w:t>
      </w:r>
      <w:r>
        <w:rPr>
          <w:rFonts w:hint="eastAsia" w:ascii="宋体" w:hAnsi="宋体" w:eastAsia="宋体" w:cs="宋体"/>
          <w:b w:val="0"/>
          <w:bCs w:val="0"/>
          <w:sz w:val="32"/>
          <w:szCs w:val="32"/>
        </w:rPr>
        <w:t>投诉</w:t>
      </w:r>
    </w:p>
    <w:p>
      <w:pPr>
        <w:ind w:firstLine="420"/>
        <w:rPr>
          <w:rFonts w:hint="eastAsia" w:ascii="楷体" w:hAnsi="楷体" w:eastAsia="楷体" w:cs="楷体"/>
          <w:sz w:val="32"/>
          <w:szCs w:val="32"/>
        </w:rPr>
      </w:pPr>
      <w:r>
        <w:rPr>
          <w:rFonts w:hint="eastAsia" w:ascii="楷体" w:hAnsi="楷体" w:eastAsia="楷体" w:cs="楷体"/>
          <w:sz w:val="32"/>
          <w:szCs w:val="32"/>
        </w:rPr>
        <w:t>5.1 投诉提出</w:t>
      </w:r>
    </w:p>
    <w:p>
      <w:pPr>
        <w:ind w:firstLine="420"/>
        <w:rPr>
          <w:rFonts w:hint="eastAsia" w:ascii="仿宋" w:hAnsi="仿宋" w:eastAsia="仿宋" w:cs="仿宋"/>
          <w:sz w:val="32"/>
          <w:szCs w:val="32"/>
        </w:rPr>
      </w:pPr>
      <w:r>
        <w:rPr>
          <w:rFonts w:hint="eastAsia" w:ascii="仿宋" w:hAnsi="仿宋" w:eastAsia="仿宋" w:cs="仿宋"/>
          <w:b/>
          <w:bCs/>
          <w:sz w:val="32"/>
          <w:szCs w:val="32"/>
        </w:rPr>
        <w:t>第一步：</w:t>
      </w:r>
      <w:r>
        <w:rPr>
          <w:rFonts w:hint="eastAsia" w:ascii="仿宋" w:hAnsi="仿宋" w:eastAsia="仿宋" w:cs="仿宋"/>
          <w:sz w:val="32"/>
          <w:szCs w:val="32"/>
        </w:rPr>
        <w:t>投标人登录交易系统，在相关业务模块中进入【投拆】菜单，点击“新增投诉”按钮挑选投诉项目，如下图所示：</w:t>
      </w:r>
    </w:p>
    <w:p>
      <w:pPr>
        <w:widowControl/>
        <w:jc w:val="left"/>
        <w:rPr>
          <w:szCs w:val="21"/>
        </w:rPr>
      </w:pPr>
      <w:r>
        <w:drawing>
          <wp:inline distT="0" distB="0" distL="0" distR="0">
            <wp:extent cx="5274310" cy="229362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5274310" cy="2293620"/>
                    </a:xfrm>
                    <a:prstGeom prst="rect">
                      <a:avLst/>
                    </a:prstGeom>
                  </pic:spPr>
                </pic:pic>
              </a:graphicData>
            </a:graphic>
          </wp:inline>
        </w:drawing>
      </w:r>
    </w:p>
    <w:p>
      <w:pPr>
        <w:ind w:firstLine="420"/>
        <w:rPr>
          <w:rFonts w:hint="eastAsia" w:ascii="仿宋" w:hAnsi="仿宋" w:eastAsia="仿宋" w:cs="仿宋"/>
          <w:sz w:val="32"/>
          <w:szCs w:val="32"/>
        </w:rPr>
      </w:pPr>
      <w:r>
        <w:rPr>
          <w:rFonts w:hint="eastAsia" w:ascii="仿宋" w:hAnsi="仿宋" w:eastAsia="仿宋" w:cs="仿宋"/>
          <w:b/>
          <w:bCs/>
          <w:sz w:val="32"/>
          <w:szCs w:val="32"/>
        </w:rPr>
        <w:t>第二步：</w:t>
      </w:r>
      <w:r>
        <w:rPr>
          <w:rFonts w:hint="eastAsia" w:ascii="仿宋" w:hAnsi="仿宋" w:eastAsia="仿宋" w:cs="仿宋"/>
          <w:sz w:val="32"/>
          <w:szCs w:val="32"/>
        </w:rPr>
        <w:t>在项目投诉提交页面，03相关内容中填写投诉内容及依据和理由，在04相关电子件中上传本次投诉扫描件，提交信息即可。</w:t>
      </w:r>
    </w:p>
    <w:p>
      <w:pPr>
        <w:widowControl/>
        <w:jc w:val="left"/>
        <w:rPr>
          <w:szCs w:val="21"/>
        </w:rPr>
      </w:pPr>
      <w:r>
        <w:drawing>
          <wp:inline distT="0" distB="0" distL="0" distR="0">
            <wp:extent cx="5274310" cy="2452370"/>
            <wp:effectExtent l="0" t="0" r="254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5274310" cy="2452370"/>
                    </a:xfrm>
                    <a:prstGeom prst="rect">
                      <a:avLst/>
                    </a:prstGeom>
                  </pic:spPr>
                </pic:pic>
              </a:graphicData>
            </a:graphic>
          </wp:inline>
        </w:drawing>
      </w:r>
    </w:p>
    <w:p>
      <w:pPr>
        <w:widowControl/>
        <w:jc w:val="left"/>
        <w:rPr>
          <w:szCs w:val="21"/>
        </w:rPr>
      </w:pPr>
      <w:r>
        <w:rPr>
          <w:rFonts w:hint="eastAsia"/>
          <w:color w:val="FF0000"/>
          <w:szCs w:val="21"/>
        </w:rPr>
        <w:t>注：项目投诉前可查看项目公告信息中对应监督部门名称，提交投诉时选则对应的监督名称。</w:t>
      </w:r>
    </w:p>
    <w:p>
      <w:pPr>
        <w:ind w:firstLine="420"/>
        <w:rPr>
          <w:rFonts w:hint="eastAsia" w:ascii="仿宋" w:hAnsi="仿宋" w:eastAsia="仿宋" w:cs="仿宋"/>
          <w:b w:val="0"/>
          <w:bCs w:val="0"/>
          <w:sz w:val="32"/>
          <w:szCs w:val="32"/>
        </w:rPr>
      </w:pPr>
      <w:r>
        <w:rPr>
          <w:rFonts w:hint="eastAsia" w:ascii="仿宋" w:hAnsi="仿宋" w:eastAsia="仿宋" w:cs="仿宋"/>
          <w:b w:val="0"/>
          <w:bCs w:val="0"/>
          <w:sz w:val="32"/>
          <w:szCs w:val="32"/>
        </w:rPr>
        <w:t>5.2 投诉回复</w:t>
      </w:r>
    </w:p>
    <w:p>
      <w:pPr>
        <w:ind w:firstLine="420"/>
        <w:rPr>
          <w:rFonts w:hint="eastAsia" w:ascii="仿宋" w:hAnsi="仿宋" w:eastAsia="仿宋" w:cs="仿宋"/>
          <w:b w:val="0"/>
          <w:bCs w:val="0"/>
          <w:sz w:val="32"/>
          <w:szCs w:val="32"/>
        </w:rPr>
      </w:pPr>
      <w:r>
        <w:rPr>
          <w:rFonts w:hint="eastAsia" w:ascii="仿宋" w:hAnsi="仿宋" w:eastAsia="仿宋" w:cs="仿宋"/>
          <w:b/>
          <w:bCs/>
          <w:sz w:val="32"/>
          <w:szCs w:val="32"/>
        </w:rPr>
        <w:t>第一步：</w:t>
      </w:r>
      <w:r>
        <w:rPr>
          <w:rFonts w:hint="eastAsia" w:ascii="仿宋" w:hAnsi="仿宋" w:eastAsia="仿宋" w:cs="仿宋"/>
          <w:b w:val="0"/>
          <w:bCs w:val="0"/>
          <w:sz w:val="32"/>
          <w:szCs w:val="32"/>
        </w:rPr>
        <w:t>行政监督部门登录交易系统，在相关业务模块特殊情况中进入【投诉回复】菜单，系统中默认展示所有受理中的投诉信息，如下图所示：</w:t>
      </w:r>
    </w:p>
    <w:p>
      <w:pPr>
        <w:rPr>
          <w:rFonts w:ascii="宋体" w:hAnsi="宋体" w:cs="宋体"/>
          <w:szCs w:val="21"/>
        </w:rPr>
      </w:pPr>
      <w:r>
        <w:drawing>
          <wp:inline distT="0" distB="0" distL="0" distR="0">
            <wp:extent cx="5274310" cy="1700530"/>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2"/>
                    <a:stretch>
                      <a:fillRect/>
                    </a:stretch>
                  </pic:blipFill>
                  <pic:spPr>
                    <a:xfrm>
                      <a:off x="0" y="0"/>
                      <a:ext cx="5274310" cy="1700530"/>
                    </a:xfrm>
                    <a:prstGeom prst="rect">
                      <a:avLst/>
                    </a:prstGeom>
                  </pic:spPr>
                </pic:pic>
              </a:graphicData>
            </a:graphic>
          </wp:inline>
        </w:drawing>
      </w:r>
    </w:p>
    <w:p>
      <w:pPr>
        <w:ind w:firstLine="420"/>
        <w:rPr>
          <w:rFonts w:hint="eastAsia" w:ascii="仿宋" w:hAnsi="仿宋" w:eastAsia="仿宋" w:cs="仿宋"/>
          <w:b w:val="0"/>
          <w:bCs w:val="0"/>
          <w:sz w:val="32"/>
          <w:szCs w:val="32"/>
        </w:rPr>
      </w:pPr>
      <w:r>
        <w:rPr>
          <w:rFonts w:hint="eastAsia" w:ascii="仿宋" w:hAnsi="仿宋" w:eastAsia="仿宋" w:cs="仿宋"/>
          <w:b/>
          <w:bCs/>
          <w:sz w:val="32"/>
          <w:szCs w:val="32"/>
        </w:rPr>
        <w:t>第二步：</w:t>
      </w:r>
      <w:r>
        <w:rPr>
          <w:rFonts w:hint="eastAsia" w:ascii="仿宋" w:hAnsi="仿宋" w:eastAsia="仿宋" w:cs="仿宋"/>
          <w:b w:val="0"/>
          <w:bCs w:val="0"/>
          <w:sz w:val="32"/>
          <w:szCs w:val="32"/>
        </w:rPr>
        <w:t>在项目投诉回复页面，可以查看本次投诉内容及电子件信息，录入处理结果后回复投诉即可。</w:t>
      </w:r>
    </w:p>
    <w:p>
      <w:pPr>
        <w:widowControl/>
        <w:jc w:val="left"/>
        <w:rPr>
          <w:rFonts w:ascii="宋体" w:hAnsi="宋体" w:cs="宋体"/>
          <w:kern w:val="0"/>
          <w:szCs w:val="21"/>
        </w:rPr>
      </w:pPr>
      <w:r>
        <w:drawing>
          <wp:inline distT="0" distB="0" distL="0" distR="0">
            <wp:extent cx="5274310" cy="2296795"/>
            <wp:effectExtent l="0" t="0" r="2540"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3"/>
                    <a:stretch>
                      <a:fillRect/>
                    </a:stretch>
                  </pic:blipFill>
                  <pic:spPr>
                    <a:xfrm>
                      <a:off x="0" y="0"/>
                      <a:ext cx="5274310" cy="2296795"/>
                    </a:xfrm>
                    <a:prstGeom prst="rect">
                      <a:avLst/>
                    </a:prstGeom>
                  </pic:spPr>
                </pic:pic>
              </a:graphicData>
            </a:graphic>
          </wp:inline>
        </w:drawing>
      </w:r>
    </w:p>
    <w:p>
      <w:pPr>
        <w:widowControl/>
        <w:ind w:firstLine="420"/>
        <w:jc w:val="left"/>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注：1、行政监管部门应依照法律法规及招标文件规定在法定时限内作出处理决定，在投诉受理后请与交易中心监督科联系，及时反馈项目处理结果。  </w:t>
      </w:r>
    </w:p>
    <w:p>
      <w:pPr>
        <w:widowControl/>
        <w:ind w:firstLine="420"/>
        <w:jc w:val="left"/>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2、行政监管部门在投诉处理期间，中心提供信息查询，监控调取，档案查询，场地安排，专家抽取（如需重新抽取专家的）等服务。  </w:t>
      </w:r>
    </w:p>
    <w:p>
      <w:pPr>
        <w:widowControl/>
        <w:ind w:firstLine="420"/>
        <w:jc w:val="left"/>
        <w:rPr>
          <w:rFonts w:hint="eastAsia" w:ascii="仿宋" w:hAnsi="仿宋" w:eastAsia="仿宋" w:cs="仿宋"/>
          <w:color w:val="FF0000"/>
          <w:sz w:val="32"/>
          <w:szCs w:val="32"/>
        </w:rPr>
      </w:pPr>
      <w:r>
        <w:rPr>
          <w:rFonts w:hint="eastAsia" w:ascii="仿宋" w:hAnsi="仿宋" w:eastAsia="仿宋" w:cs="仿宋"/>
          <w:color w:val="FF0000"/>
          <w:sz w:val="32"/>
          <w:szCs w:val="32"/>
        </w:rPr>
        <w:t>3、在投诉处理期间，招标代理机构（招标人）如需中止项目招标活动，中心提供信息发布、场地安排等相关服务。</w:t>
      </w:r>
    </w:p>
    <w:p>
      <w:pPr>
        <w:widowControl/>
        <w:ind w:firstLine="420"/>
        <w:jc w:val="left"/>
        <w:rPr>
          <w:rFonts w:hint="eastAsia" w:ascii="仿宋" w:hAnsi="仿宋" w:eastAsia="仿宋" w:cs="仿宋"/>
          <w:color w:val="FF0000"/>
          <w:sz w:val="32"/>
          <w:szCs w:val="32"/>
        </w:rPr>
      </w:pPr>
      <w:r>
        <w:rPr>
          <w:rFonts w:hint="eastAsia" w:ascii="仿宋" w:hAnsi="仿宋" w:eastAsia="仿宋" w:cs="仿宋"/>
          <w:color w:val="FF0000"/>
          <w:sz w:val="32"/>
          <w:szCs w:val="32"/>
        </w:rPr>
        <w:t>4、行政监管部门不予受理的，应在2个工作日内退回投诉并通知投诉人。</w:t>
      </w:r>
      <w:bookmarkEnd w:id="1"/>
    </w:p>
    <w:sectPr>
      <w:headerReference r:id="rId3" w:type="default"/>
      <w:footerReference r:id="rId4" w:type="default"/>
      <w:pgSz w:w="11906" w:h="16838"/>
      <w:pgMar w:top="1440" w:right="1800" w:bottom="1440" w:left="1800" w:header="454" w:footer="68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9BBB59" w:sz="24" w:space="5"/>
      </w:pBdr>
      <w:jc w:val="right"/>
      <w:rPr>
        <w:i/>
        <w:iCs/>
        <w:color w:val="8C8C8C"/>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ckThinSmallGap" w:color="622423" w:sz="24" w:space="12"/>
      </w:pBdr>
      <w:rPr>
        <w:rFonts w:ascii="Cambria" w:hAnsi="Cambria"/>
      </w:rPr>
    </w:pPr>
    <w:r>
      <w:rPr>
        <w:rFonts w:hint="eastAsia" w:ascii="Cambria" w:hAnsi="Cambria"/>
      </w:rPr>
      <w:t>谈判项目多轮报价操作手册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pStyle w:val="2"/>
      <w:suff w:val="nothing"/>
      <w:lvlText w:val="%1、"/>
      <w:lvlJc w:val="left"/>
      <w:pPr>
        <w:ind w:left="425" w:hanging="425"/>
      </w:pPr>
      <w:rPr>
        <w:rFonts w:hint="eastAsia"/>
      </w:rPr>
    </w:lvl>
    <w:lvl w:ilvl="1" w:tentative="0">
      <w:start w:val="1"/>
      <w:numFmt w:val="decimal"/>
      <w:pStyle w:val="3"/>
      <w:isLgl/>
      <w:suff w:val="nothing"/>
      <w:lvlText w:val="%1.%2、"/>
      <w:lvlJc w:val="left"/>
      <w:pPr>
        <w:ind w:left="567" w:hanging="567"/>
      </w:pPr>
      <w:rPr>
        <w:rFonts w:hint="default" w:ascii="Times New Roman" w:hAnsi="Times New Roman" w:cs="Times New Roman"/>
        <w:color w:val="auto"/>
      </w:rPr>
    </w:lvl>
    <w:lvl w:ilvl="2" w:tentative="0">
      <w:start w:val="1"/>
      <w:numFmt w:val="decimal"/>
      <w:pStyle w:val="4"/>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5"/>
      <w:isLgl/>
      <w:suff w:val="nothing"/>
      <w:lvlText w:val="%1.%2.%3.%4、"/>
      <w:lvlJc w:val="left"/>
      <w:pPr>
        <w:ind w:left="-850" w:hanging="851"/>
      </w:pPr>
      <w:rPr>
        <w:rFonts w:hint="default" w:ascii="Times New Roman" w:hAnsi="Times New Roman" w:eastAsia="宋体" w:cs="Times New Roman"/>
        <w:sz w:val="24"/>
        <w:szCs w:val="24"/>
      </w:rPr>
    </w:lvl>
    <w:lvl w:ilvl="4" w:tentative="0">
      <w:start w:val="1"/>
      <w:numFmt w:val="decimal"/>
      <w:pStyle w:val="6"/>
      <w:isLgl/>
      <w:suff w:val="nothing"/>
      <w:lvlText w:val="%1.%2.%3.%4.%5、"/>
      <w:lvlJc w:val="left"/>
      <w:pPr>
        <w:ind w:left="-709" w:hanging="992"/>
      </w:pPr>
      <w:rPr>
        <w:rFonts w:hint="eastAsia"/>
      </w:rPr>
    </w:lvl>
    <w:lvl w:ilvl="5" w:tentative="0">
      <w:start w:val="1"/>
      <w:numFmt w:val="decimal"/>
      <w:pStyle w:val="7"/>
      <w:isLgl/>
      <w:suff w:val="nothing"/>
      <w:lvlText w:val="%1.%2.%3.%4.%5.%6、"/>
      <w:lvlJc w:val="left"/>
      <w:pPr>
        <w:ind w:left="-567" w:hanging="1134"/>
      </w:pPr>
      <w:rPr>
        <w:rFonts w:hint="default" w:ascii="Times New Roman" w:hAnsi="Times New Roman" w:cs="Times New Roman"/>
      </w:rPr>
    </w:lvl>
    <w:lvl w:ilvl="6" w:tentative="0">
      <w:start w:val="1"/>
      <w:numFmt w:val="decimal"/>
      <w:isLgl/>
      <w:lvlText w:val="%1.%2.%3.%4.%5.%6.%7"/>
      <w:lvlJc w:val="left"/>
      <w:pPr>
        <w:tabs>
          <w:tab w:val="left" w:pos="99"/>
        </w:tabs>
        <w:ind w:left="-425" w:hanging="1276"/>
      </w:pPr>
      <w:rPr>
        <w:rFonts w:hint="eastAsia"/>
      </w:rPr>
    </w:lvl>
    <w:lvl w:ilvl="7" w:tentative="0">
      <w:start w:val="1"/>
      <w:numFmt w:val="decimal"/>
      <w:isLgl/>
      <w:lvlText w:val="%1.%2.%3.%4.%5.%6.%7.%8"/>
      <w:lvlJc w:val="left"/>
      <w:pPr>
        <w:tabs>
          <w:tab w:val="left" w:pos="99"/>
        </w:tabs>
        <w:ind w:left="-283" w:hanging="1418"/>
      </w:pPr>
      <w:rPr>
        <w:rFonts w:hint="eastAsia"/>
      </w:rPr>
    </w:lvl>
    <w:lvl w:ilvl="8" w:tentative="0">
      <w:start w:val="1"/>
      <w:numFmt w:val="decimal"/>
      <w:isLgl/>
      <w:lvlText w:val="%1.%2.%3.%4.%5.%6.%7.%8.%9"/>
      <w:lvlJc w:val="left"/>
      <w:pPr>
        <w:tabs>
          <w:tab w:val="left" w:pos="459"/>
        </w:tabs>
        <w:ind w:left="-142"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5C"/>
    <w:rsid w:val="00013B26"/>
    <w:rsid w:val="00016DA4"/>
    <w:rsid w:val="00021044"/>
    <w:rsid w:val="00023EC2"/>
    <w:rsid w:val="00024CA4"/>
    <w:rsid w:val="000602EE"/>
    <w:rsid w:val="0007237E"/>
    <w:rsid w:val="00073312"/>
    <w:rsid w:val="00075CC6"/>
    <w:rsid w:val="00090504"/>
    <w:rsid w:val="000954D0"/>
    <w:rsid w:val="000957BD"/>
    <w:rsid w:val="00097D7A"/>
    <w:rsid w:val="000A34E5"/>
    <w:rsid w:val="000B20C4"/>
    <w:rsid w:val="000C252B"/>
    <w:rsid w:val="000C2712"/>
    <w:rsid w:val="000D1655"/>
    <w:rsid w:val="000D33C5"/>
    <w:rsid w:val="000E42A3"/>
    <w:rsid w:val="000F4404"/>
    <w:rsid w:val="001043D7"/>
    <w:rsid w:val="00104D9E"/>
    <w:rsid w:val="00106DC9"/>
    <w:rsid w:val="00107694"/>
    <w:rsid w:val="001107B5"/>
    <w:rsid w:val="0011351A"/>
    <w:rsid w:val="001221B0"/>
    <w:rsid w:val="00122574"/>
    <w:rsid w:val="00126A29"/>
    <w:rsid w:val="00142306"/>
    <w:rsid w:val="0015151E"/>
    <w:rsid w:val="001538E6"/>
    <w:rsid w:val="00154365"/>
    <w:rsid w:val="0017130A"/>
    <w:rsid w:val="00173BC8"/>
    <w:rsid w:val="001851D5"/>
    <w:rsid w:val="001A0A42"/>
    <w:rsid w:val="001A4713"/>
    <w:rsid w:val="001B3863"/>
    <w:rsid w:val="001B6D86"/>
    <w:rsid w:val="001B7A4C"/>
    <w:rsid w:val="001C32A9"/>
    <w:rsid w:val="001D1520"/>
    <w:rsid w:val="001D6F1F"/>
    <w:rsid w:val="001E1D54"/>
    <w:rsid w:val="001E56CE"/>
    <w:rsid w:val="001E6E04"/>
    <w:rsid w:val="001F3111"/>
    <w:rsid w:val="001F7C12"/>
    <w:rsid w:val="00202656"/>
    <w:rsid w:val="00222525"/>
    <w:rsid w:val="00230E93"/>
    <w:rsid w:val="00240091"/>
    <w:rsid w:val="00241576"/>
    <w:rsid w:val="00244425"/>
    <w:rsid w:val="002624DF"/>
    <w:rsid w:val="00267C95"/>
    <w:rsid w:val="002760C7"/>
    <w:rsid w:val="002854DF"/>
    <w:rsid w:val="00285552"/>
    <w:rsid w:val="00285A0D"/>
    <w:rsid w:val="00291860"/>
    <w:rsid w:val="002A0C3E"/>
    <w:rsid w:val="002A311D"/>
    <w:rsid w:val="002B2391"/>
    <w:rsid w:val="002C051B"/>
    <w:rsid w:val="002C1437"/>
    <w:rsid w:val="002D0B97"/>
    <w:rsid w:val="002E5201"/>
    <w:rsid w:val="002F0950"/>
    <w:rsid w:val="002F2257"/>
    <w:rsid w:val="00300659"/>
    <w:rsid w:val="003076B6"/>
    <w:rsid w:val="003141A4"/>
    <w:rsid w:val="003154B8"/>
    <w:rsid w:val="00323231"/>
    <w:rsid w:val="00324B4F"/>
    <w:rsid w:val="0033339A"/>
    <w:rsid w:val="003353F5"/>
    <w:rsid w:val="00335623"/>
    <w:rsid w:val="0034245B"/>
    <w:rsid w:val="0034327F"/>
    <w:rsid w:val="00343CD7"/>
    <w:rsid w:val="00344033"/>
    <w:rsid w:val="0035515A"/>
    <w:rsid w:val="0036334A"/>
    <w:rsid w:val="0037354B"/>
    <w:rsid w:val="00376309"/>
    <w:rsid w:val="00377CD5"/>
    <w:rsid w:val="00382071"/>
    <w:rsid w:val="00387F21"/>
    <w:rsid w:val="003A2FB5"/>
    <w:rsid w:val="003A49DB"/>
    <w:rsid w:val="003D7590"/>
    <w:rsid w:val="003F42A9"/>
    <w:rsid w:val="003F68AB"/>
    <w:rsid w:val="004036FC"/>
    <w:rsid w:val="00434BF4"/>
    <w:rsid w:val="004376B7"/>
    <w:rsid w:val="0044443E"/>
    <w:rsid w:val="004504F6"/>
    <w:rsid w:val="00456497"/>
    <w:rsid w:val="00461538"/>
    <w:rsid w:val="00463DF3"/>
    <w:rsid w:val="00470A1E"/>
    <w:rsid w:val="0047581E"/>
    <w:rsid w:val="00480A60"/>
    <w:rsid w:val="00483C09"/>
    <w:rsid w:val="004A6E51"/>
    <w:rsid w:val="004C1EFB"/>
    <w:rsid w:val="004C53E7"/>
    <w:rsid w:val="004D0228"/>
    <w:rsid w:val="004D060C"/>
    <w:rsid w:val="004D2289"/>
    <w:rsid w:val="004D31DB"/>
    <w:rsid w:val="004D504C"/>
    <w:rsid w:val="004D7711"/>
    <w:rsid w:val="004F19B5"/>
    <w:rsid w:val="004F3A44"/>
    <w:rsid w:val="004F642C"/>
    <w:rsid w:val="00502E57"/>
    <w:rsid w:val="00511FAE"/>
    <w:rsid w:val="005355ED"/>
    <w:rsid w:val="005404AE"/>
    <w:rsid w:val="005473C9"/>
    <w:rsid w:val="005644F8"/>
    <w:rsid w:val="00571CD5"/>
    <w:rsid w:val="005942A3"/>
    <w:rsid w:val="00594459"/>
    <w:rsid w:val="005C0A18"/>
    <w:rsid w:val="005C328E"/>
    <w:rsid w:val="005C4783"/>
    <w:rsid w:val="005C7C93"/>
    <w:rsid w:val="005D2625"/>
    <w:rsid w:val="005D2939"/>
    <w:rsid w:val="005E4B1C"/>
    <w:rsid w:val="005F52B6"/>
    <w:rsid w:val="005F60AA"/>
    <w:rsid w:val="00636C94"/>
    <w:rsid w:val="00641DFC"/>
    <w:rsid w:val="00652BE2"/>
    <w:rsid w:val="00653BA2"/>
    <w:rsid w:val="00656D25"/>
    <w:rsid w:val="00657BA8"/>
    <w:rsid w:val="00695258"/>
    <w:rsid w:val="006A0C5F"/>
    <w:rsid w:val="006A5B86"/>
    <w:rsid w:val="006B062F"/>
    <w:rsid w:val="006C41BC"/>
    <w:rsid w:val="006C7BF0"/>
    <w:rsid w:val="006D2F3A"/>
    <w:rsid w:val="006D3B6B"/>
    <w:rsid w:val="006D5FFE"/>
    <w:rsid w:val="006D65E4"/>
    <w:rsid w:val="006E7B7F"/>
    <w:rsid w:val="00706E39"/>
    <w:rsid w:val="00717FB5"/>
    <w:rsid w:val="007253C7"/>
    <w:rsid w:val="00725917"/>
    <w:rsid w:val="00743FC1"/>
    <w:rsid w:val="0075043F"/>
    <w:rsid w:val="00754396"/>
    <w:rsid w:val="007558DA"/>
    <w:rsid w:val="007566EA"/>
    <w:rsid w:val="0075736E"/>
    <w:rsid w:val="00766C2F"/>
    <w:rsid w:val="00786D06"/>
    <w:rsid w:val="0079196F"/>
    <w:rsid w:val="00791BC7"/>
    <w:rsid w:val="0079751C"/>
    <w:rsid w:val="007A4687"/>
    <w:rsid w:val="007A6987"/>
    <w:rsid w:val="007B0854"/>
    <w:rsid w:val="007B1282"/>
    <w:rsid w:val="007B34D3"/>
    <w:rsid w:val="007D5B37"/>
    <w:rsid w:val="007E57C0"/>
    <w:rsid w:val="007E59F5"/>
    <w:rsid w:val="007F5E56"/>
    <w:rsid w:val="007F6769"/>
    <w:rsid w:val="00827066"/>
    <w:rsid w:val="008401A9"/>
    <w:rsid w:val="00847079"/>
    <w:rsid w:val="008531A2"/>
    <w:rsid w:val="00857302"/>
    <w:rsid w:val="00871594"/>
    <w:rsid w:val="00893291"/>
    <w:rsid w:val="008A7B01"/>
    <w:rsid w:val="008F1575"/>
    <w:rsid w:val="008F6D8B"/>
    <w:rsid w:val="0090071E"/>
    <w:rsid w:val="009026B5"/>
    <w:rsid w:val="009064C3"/>
    <w:rsid w:val="00910143"/>
    <w:rsid w:val="00933C88"/>
    <w:rsid w:val="009441C9"/>
    <w:rsid w:val="00950746"/>
    <w:rsid w:val="0095315F"/>
    <w:rsid w:val="009565BB"/>
    <w:rsid w:val="00962A10"/>
    <w:rsid w:val="00963930"/>
    <w:rsid w:val="0097302E"/>
    <w:rsid w:val="00985F6A"/>
    <w:rsid w:val="0099009E"/>
    <w:rsid w:val="00997B39"/>
    <w:rsid w:val="009A11EF"/>
    <w:rsid w:val="009A15EC"/>
    <w:rsid w:val="009A5999"/>
    <w:rsid w:val="009C3971"/>
    <w:rsid w:val="009F4D87"/>
    <w:rsid w:val="009F68B3"/>
    <w:rsid w:val="009F6BBB"/>
    <w:rsid w:val="00A032D2"/>
    <w:rsid w:val="00A178E2"/>
    <w:rsid w:val="00A20B39"/>
    <w:rsid w:val="00A37E28"/>
    <w:rsid w:val="00A43EF4"/>
    <w:rsid w:val="00A51EF1"/>
    <w:rsid w:val="00A57B11"/>
    <w:rsid w:val="00A62917"/>
    <w:rsid w:val="00A67EF8"/>
    <w:rsid w:val="00A7230C"/>
    <w:rsid w:val="00A90994"/>
    <w:rsid w:val="00A94C9D"/>
    <w:rsid w:val="00AA006C"/>
    <w:rsid w:val="00AA2716"/>
    <w:rsid w:val="00AC19CC"/>
    <w:rsid w:val="00AF41A4"/>
    <w:rsid w:val="00AF648C"/>
    <w:rsid w:val="00B03B61"/>
    <w:rsid w:val="00B04C0F"/>
    <w:rsid w:val="00B126FE"/>
    <w:rsid w:val="00B21273"/>
    <w:rsid w:val="00B24B3B"/>
    <w:rsid w:val="00B33862"/>
    <w:rsid w:val="00B34514"/>
    <w:rsid w:val="00B443EA"/>
    <w:rsid w:val="00B4615D"/>
    <w:rsid w:val="00B531D4"/>
    <w:rsid w:val="00B5359F"/>
    <w:rsid w:val="00B53AAB"/>
    <w:rsid w:val="00B62C4A"/>
    <w:rsid w:val="00B649E6"/>
    <w:rsid w:val="00B66C99"/>
    <w:rsid w:val="00B74494"/>
    <w:rsid w:val="00B833BE"/>
    <w:rsid w:val="00B84050"/>
    <w:rsid w:val="00B85698"/>
    <w:rsid w:val="00B96286"/>
    <w:rsid w:val="00B97DBC"/>
    <w:rsid w:val="00BA5315"/>
    <w:rsid w:val="00BB6DD7"/>
    <w:rsid w:val="00BC5197"/>
    <w:rsid w:val="00BE26E7"/>
    <w:rsid w:val="00BF1F81"/>
    <w:rsid w:val="00BF2ACA"/>
    <w:rsid w:val="00C0057A"/>
    <w:rsid w:val="00C03B6C"/>
    <w:rsid w:val="00C1397B"/>
    <w:rsid w:val="00C14DFA"/>
    <w:rsid w:val="00C313A1"/>
    <w:rsid w:val="00C4098E"/>
    <w:rsid w:val="00C41BB3"/>
    <w:rsid w:val="00C63DDC"/>
    <w:rsid w:val="00C73462"/>
    <w:rsid w:val="00C750CB"/>
    <w:rsid w:val="00C83A9F"/>
    <w:rsid w:val="00C874BC"/>
    <w:rsid w:val="00C92A5C"/>
    <w:rsid w:val="00C960EB"/>
    <w:rsid w:val="00CA5581"/>
    <w:rsid w:val="00CA7BDD"/>
    <w:rsid w:val="00CC2FF0"/>
    <w:rsid w:val="00CD5503"/>
    <w:rsid w:val="00CE1EB0"/>
    <w:rsid w:val="00CE47FA"/>
    <w:rsid w:val="00CE6CBA"/>
    <w:rsid w:val="00CF0294"/>
    <w:rsid w:val="00CF5D49"/>
    <w:rsid w:val="00D06803"/>
    <w:rsid w:val="00D2170F"/>
    <w:rsid w:val="00D27823"/>
    <w:rsid w:val="00D31D3B"/>
    <w:rsid w:val="00D36647"/>
    <w:rsid w:val="00D414CE"/>
    <w:rsid w:val="00D475D7"/>
    <w:rsid w:val="00D47E41"/>
    <w:rsid w:val="00D55798"/>
    <w:rsid w:val="00D6797D"/>
    <w:rsid w:val="00D74B52"/>
    <w:rsid w:val="00D756BA"/>
    <w:rsid w:val="00D7590B"/>
    <w:rsid w:val="00D800E8"/>
    <w:rsid w:val="00D805CA"/>
    <w:rsid w:val="00D80873"/>
    <w:rsid w:val="00D83358"/>
    <w:rsid w:val="00D86F2C"/>
    <w:rsid w:val="00DB3D7B"/>
    <w:rsid w:val="00DB6F8E"/>
    <w:rsid w:val="00DC41FB"/>
    <w:rsid w:val="00DC5C6C"/>
    <w:rsid w:val="00DC6C2E"/>
    <w:rsid w:val="00DC772A"/>
    <w:rsid w:val="00DD1D35"/>
    <w:rsid w:val="00DD2051"/>
    <w:rsid w:val="00DD5192"/>
    <w:rsid w:val="00DE6720"/>
    <w:rsid w:val="00E069ED"/>
    <w:rsid w:val="00E14308"/>
    <w:rsid w:val="00E14E19"/>
    <w:rsid w:val="00E14FC1"/>
    <w:rsid w:val="00E17A0B"/>
    <w:rsid w:val="00E24BDA"/>
    <w:rsid w:val="00E4048C"/>
    <w:rsid w:val="00E4475C"/>
    <w:rsid w:val="00E45814"/>
    <w:rsid w:val="00E46A6D"/>
    <w:rsid w:val="00E61B69"/>
    <w:rsid w:val="00E72089"/>
    <w:rsid w:val="00E7665F"/>
    <w:rsid w:val="00E83240"/>
    <w:rsid w:val="00E94902"/>
    <w:rsid w:val="00E957C2"/>
    <w:rsid w:val="00EC499F"/>
    <w:rsid w:val="00EC7F9F"/>
    <w:rsid w:val="00ED6CC8"/>
    <w:rsid w:val="00EE2761"/>
    <w:rsid w:val="00EE2B78"/>
    <w:rsid w:val="00EF0B3B"/>
    <w:rsid w:val="00EF116A"/>
    <w:rsid w:val="00EF6370"/>
    <w:rsid w:val="00F02926"/>
    <w:rsid w:val="00F05A92"/>
    <w:rsid w:val="00F16B74"/>
    <w:rsid w:val="00F264C0"/>
    <w:rsid w:val="00F347DC"/>
    <w:rsid w:val="00F35CBC"/>
    <w:rsid w:val="00F57301"/>
    <w:rsid w:val="00F65156"/>
    <w:rsid w:val="00F7296B"/>
    <w:rsid w:val="00F807F4"/>
    <w:rsid w:val="00F822C6"/>
    <w:rsid w:val="00F86DA4"/>
    <w:rsid w:val="00F8726D"/>
    <w:rsid w:val="00F90938"/>
    <w:rsid w:val="00F9254F"/>
    <w:rsid w:val="00FA17DA"/>
    <w:rsid w:val="00FB1FEB"/>
    <w:rsid w:val="00FB20EA"/>
    <w:rsid w:val="00FC5966"/>
    <w:rsid w:val="00FC6018"/>
    <w:rsid w:val="00FD046F"/>
    <w:rsid w:val="00FD15F0"/>
    <w:rsid w:val="00FD1824"/>
    <w:rsid w:val="00FD5AE5"/>
    <w:rsid w:val="00FE0143"/>
    <w:rsid w:val="00FE1720"/>
    <w:rsid w:val="11266EAF"/>
    <w:rsid w:val="17C23687"/>
    <w:rsid w:val="1C1A7908"/>
    <w:rsid w:val="23F1213E"/>
    <w:rsid w:val="260F1C25"/>
    <w:rsid w:val="27ED3640"/>
    <w:rsid w:val="2DA15DFA"/>
    <w:rsid w:val="2DC569D3"/>
    <w:rsid w:val="36B873C3"/>
    <w:rsid w:val="3A997671"/>
    <w:rsid w:val="521B25C1"/>
    <w:rsid w:val="52DE0B50"/>
    <w:rsid w:val="6339175D"/>
    <w:rsid w:val="74A44AD1"/>
    <w:rsid w:val="75973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numPr>
        <w:ilvl w:val="0"/>
        <w:numId w:val="1"/>
      </w:numPr>
      <w:spacing w:before="120" w:after="120" w:line="360" w:lineRule="auto"/>
      <w:outlineLvl w:val="0"/>
    </w:pPr>
    <w:rPr>
      <w:b/>
      <w:bCs/>
      <w:kern w:val="44"/>
      <w:sz w:val="32"/>
      <w:szCs w:val="28"/>
    </w:rPr>
  </w:style>
  <w:style w:type="paragraph" w:styleId="3">
    <w:name w:val="heading 2"/>
    <w:basedOn w:val="1"/>
    <w:next w:val="1"/>
    <w:link w:val="31"/>
    <w:qFormat/>
    <w:uiPriority w:val="0"/>
    <w:pPr>
      <w:keepNext/>
      <w:keepLines/>
      <w:numPr>
        <w:ilvl w:val="1"/>
        <w:numId w:val="1"/>
      </w:numPr>
      <w:spacing w:before="120" w:after="120" w:line="360" w:lineRule="auto"/>
      <w:outlineLvl w:val="1"/>
    </w:pPr>
    <w:rPr>
      <w:b/>
      <w:bCs/>
      <w:sz w:val="30"/>
      <w:szCs w:val="32"/>
    </w:rPr>
  </w:style>
  <w:style w:type="paragraph" w:styleId="4">
    <w:name w:val="heading 3"/>
    <w:basedOn w:val="1"/>
    <w:next w:val="1"/>
    <w:link w:val="32"/>
    <w:qFormat/>
    <w:uiPriority w:val="0"/>
    <w:pPr>
      <w:keepNext/>
      <w:keepLines/>
      <w:numPr>
        <w:ilvl w:val="2"/>
        <w:numId w:val="1"/>
      </w:numPr>
      <w:spacing w:before="120" w:after="120" w:line="360" w:lineRule="auto"/>
      <w:outlineLvl w:val="2"/>
    </w:pPr>
    <w:rPr>
      <w:b/>
      <w:bCs/>
      <w:sz w:val="28"/>
      <w:szCs w:val="18"/>
    </w:rPr>
  </w:style>
  <w:style w:type="paragraph" w:styleId="5">
    <w:name w:val="heading 4"/>
    <w:basedOn w:val="1"/>
    <w:next w:val="1"/>
    <w:link w:val="33"/>
    <w:qFormat/>
    <w:uiPriority w:val="0"/>
    <w:pPr>
      <w:keepNext/>
      <w:keepLines/>
      <w:numPr>
        <w:ilvl w:val="3"/>
        <w:numId w:val="1"/>
      </w:numPr>
      <w:spacing w:before="120" w:after="120" w:line="360" w:lineRule="auto"/>
      <w:outlineLvl w:val="3"/>
    </w:pPr>
    <w:rPr>
      <w:b/>
      <w:bCs/>
      <w:sz w:val="24"/>
      <w:szCs w:val="28"/>
    </w:rPr>
  </w:style>
  <w:style w:type="paragraph" w:styleId="6">
    <w:name w:val="heading 5"/>
    <w:basedOn w:val="1"/>
    <w:next w:val="1"/>
    <w:link w:val="34"/>
    <w:unhideWhenUsed/>
    <w:qFormat/>
    <w:uiPriority w:val="0"/>
    <w:pPr>
      <w:keepNext/>
      <w:keepLines/>
      <w:numPr>
        <w:ilvl w:val="4"/>
        <w:numId w:val="1"/>
      </w:numPr>
      <w:spacing w:before="120" w:after="120" w:line="360" w:lineRule="auto"/>
      <w:outlineLvl w:val="4"/>
    </w:pPr>
    <w:rPr>
      <w:b/>
      <w:bCs/>
      <w:szCs w:val="28"/>
    </w:rPr>
  </w:style>
  <w:style w:type="paragraph" w:styleId="7">
    <w:name w:val="heading 6"/>
    <w:basedOn w:val="1"/>
    <w:next w:val="1"/>
    <w:link w:val="35"/>
    <w:unhideWhenUsed/>
    <w:qFormat/>
    <w:uiPriority w:val="0"/>
    <w:pPr>
      <w:keepNext/>
      <w:keepLines/>
      <w:numPr>
        <w:ilvl w:val="5"/>
        <w:numId w:val="1"/>
      </w:numPr>
      <w:spacing w:before="120" w:after="120" w:line="360" w:lineRule="auto"/>
      <w:outlineLvl w:val="5"/>
    </w:pPr>
    <w:rPr>
      <w:rFonts w:ascii="Cambria" w:hAnsi="Cambria"/>
      <w:b/>
      <w:bCs/>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9"/>
    <w:semiHidden/>
    <w:unhideWhenUsed/>
    <w:qFormat/>
    <w:uiPriority w:val="99"/>
    <w:rPr>
      <w:rFonts w:ascii="宋体"/>
      <w:sz w:val="18"/>
      <w:szCs w:val="18"/>
    </w:rPr>
  </w:style>
  <w:style w:type="paragraph" w:styleId="9">
    <w:name w:val="toc 3"/>
    <w:basedOn w:val="1"/>
    <w:next w:val="1"/>
    <w:unhideWhenUsed/>
    <w:qFormat/>
    <w:uiPriority w:val="39"/>
    <w:pPr>
      <w:tabs>
        <w:tab w:val="right" w:leader="dot" w:pos="8296"/>
      </w:tabs>
      <w:ind w:left="680"/>
      <w:jc w:val="left"/>
    </w:pPr>
    <w:rPr>
      <w:rFonts w:cs="Calibri"/>
      <w:iCs/>
      <w:szCs w:val="20"/>
    </w:rPr>
  </w:style>
  <w:style w:type="paragraph" w:styleId="10">
    <w:name w:val="Balloon Text"/>
    <w:basedOn w:val="1"/>
    <w:link w:val="40"/>
    <w:semiHidden/>
    <w:unhideWhenUsed/>
    <w:qFormat/>
    <w:uiPriority w:val="99"/>
    <w:rPr>
      <w:sz w:val="18"/>
      <w:szCs w:val="18"/>
    </w:r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ind w:left="200" w:hanging="200" w:hangingChars="200"/>
      <w:jc w:val="left"/>
    </w:pPr>
    <w:rPr>
      <w:rFonts w:cs="Calibri"/>
      <w:bCs/>
      <w:caps/>
      <w:szCs w:val="20"/>
    </w:rPr>
  </w:style>
  <w:style w:type="paragraph" w:styleId="14">
    <w:name w:val="toc 2"/>
    <w:basedOn w:val="1"/>
    <w:next w:val="1"/>
    <w:unhideWhenUsed/>
    <w:qFormat/>
    <w:uiPriority w:val="39"/>
    <w:pPr>
      <w:ind w:left="340"/>
      <w:jc w:val="left"/>
    </w:pPr>
    <w:rPr>
      <w:rFonts w:cs="Calibri"/>
      <w:smallCaps/>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Strong"/>
    <w:basedOn w:val="17"/>
    <w:qFormat/>
    <w:uiPriority w:val="22"/>
    <w:rPr>
      <w:b/>
    </w:rPr>
  </w:style>
  <w:style w:type="character" w:styleId="19">
    <w:name w:val="FollowedHyperlink"/>
    <w:basedOn w:val="17"/>
    <w:semiHidden/>
    <w:unhideWhenUsed/>
    <w:qFormat/>
    <w:uiPriority w:val="99"/>
    <w:rPr>
      <w:color w:val="800080" w:themeColor="followedHyperlink"/>
      <w:u w:val="single"/>
      <w14:textFill>
        <w14:solidFill>
          <w14:schemeClr w14:val="folHlink"/>
        </w14:solidFill>
      </w14:textFill>
    </w:rPr>
  </w:style>
  <w:style w:type="character" w:styleId="20">
    <w:name w:val="Emphasis"/>
    <w:basedOn w:val="17"/>
    <w:qFormat/>
    <w:uiPriority w:val="20"/>
    <w:rPr>
      <w:b/>
    </w:rPr>
  </w:style>
  <w:style w:type="character" w:styleId="21">
    <w:name w:val="HTML Definition"/>
    <w:basedOn w:val="17"/>
    <w:semiHidden/>
    <w:unhideWhenUsed/>
    <w:uiPriority w:val="99"/>
  </w:style>
  <w:style w:type="character" w:styleId="22">
    <w:name w:val="HTML Typewriter"/>
    <w:basedOn w:val="17"/>
    <w:semiHidden/>
    <w:unhideWhenUsed/>
    <w:uiPriority w:val="99"/>
    <w:rPr>
      <w:rFonts w:hint="default" w:ascii="monospace" w:hAnsi="monospace" w:eastAsia="monospace" w:cs="monospace"/>
      <w:sz w:val="20"/>
    </w:rPr>
  </w:style>
  <w:style w:type="character" w:styleId="23">
    <w:name w:val="HTML Acronym"/>
    <w:basedOn w:val="17"/>
    <w:semiHidden/>
    <w:unhideWhenUsed/>
    <w:uiPriority w:val="99"/>
  </w:style>
  <w:style w:type="character" w:styleId="24">
    <w:name w:val="HTML Variable"/>
    <w:basedOn w:val="17"/>
    <w:semiHidden/>
    <w:unhideWhenUsed/>
    <w:uiPriority w:val="99"/>
  </w:style>
  <w:style w:type="character" w:styleId="25">
    <w:name w:val="Hyperlink"/>
    <w:basedOn w:val="17"/>
    <w:unhideWhenUsed/>
    <w:qFormat/>
    <w:uiPriority w:val="99"/>
    <w:rPr>
      <w:color w:val="0000FF"/>
      <w:u w:val="single"/>
    </w:rPr>
  </w:style>
  <w:style w:type="character" w:styleId="26">
    <w:name w:val="HTML Code"/>
    <w:basedOn w:val="17"/>
    <w:semiHidden/>
    <w:unhideWhenUsed/>
    <w:qFormat/>
    <w:uiPriority w:val="99"/>
    <w:rPr>
      <w:rFonts w:hint="default" w:ascii="monospace" w:hAnsi="monospace" w:eastAsia="monospace" w:cs="monospace"/>
      <w:sz w:val="20"/>
    </w:rPr>
  </w:style>
  <w:style w:type="character" w:styleId="27">
    <w:name w:val="HTML Cite"/>
    <w:basedOn w:val="17"/>
    <w:semiHidden/>
    <w:unhideWhenUsed/>
    <w:qFormat/>
    <w:uiPriority w:val="99"/>
  </w:style>
  <w:style w:type="character" w:styleId="28">
    <w:name w:val="HTML Keyboard"/>
    <w:basedOn w:val="17"/>
    <w:semiHidden/>
    <w:unhideWhenUsed/>
    <w:uiPriority w:val="99"/>
    <w:rPr>
      <w:rFonts w:ascii="monospace" w:hAnsi="monospace" w:eastAsia="monospace" w:cs="monospace"/>
      <w:sz w:val="20"/>
    </w:rPr>
  </w:style>
  <w:style w:type="character" w:styleId="29">
    <w:name w:val="HTML Sample"/>
    <w:basedOn w:val="17"/>
    <w:semiHidden/>
    <w:unhideWhenUsed/>
    <w:uiPriority w:val="99"/>
    <w:rPr>
      <w:rFonts w:hint="default" w:ascii="monospace" w:hAnsi="monospace" w:eastAsia="monospace" w:cs="monospace"/>
      <w:bdr w:val="single" w:color="DBDEC1" w:sz="4" w:space="0"/>
      <w:shd w:val="clear" w:color="auto" w:fill="FFFFFF"/>
    </w:rPr>
  </w:style>
  <w:style w:type="character" w:customStyle="1" w:styleId="30">
    <w:name w:val="标题 1 字符"/>
    <w:basedOn w:val="17"/>
    <w:link w:val="2"/>
    <w:qFormat/>
    <w:uiPriority w:val="0"/>
    <w:rPr>
      <w:rFonts w:ascii="Times New Roman" w:hAnsi="Times New Roman" w:eastAsia="宋体" w:cs="Times New Roman"/>
      <w:b/>
      <w:bCs/>
      <w:kern w:val="44"/>
      <w:sz w:val="32"/>
      <w:szCs w:val="28"/>
    </w:rPr>
  </w:style>
  <w:style w:type="character" w:customStyle="1" w:styleId="31">
    <w:name w:val="标题 2 字符"/>
    <w:basedOn w:val="17"/>
    <w:link w:val="3"/>
    <w:qFormat/>
    <w:uiPriority w:val="0"/>
    <w:rPr>
      <w:rFonts w:ascii="Times New Roman" w:hAnsi="Times New Roman" w:eastAsia="宋体" w:cs="Times New Roman"/>
      <w:b/>
      <w:bCs/>
      <w:sz w:val="30"/>
      <w:szCs w:val="32"/>
    </w:rPr>
  </w:style>
  <w:style w:type="character" w:customStyle="1" w:styleId="32">
    <w:name w:val="标题 3 字符"/>
    <w:basedOn w:val="17"/>
    <w:link w:val="4"/>
    <w:qFormat/>
    <w:uiPriority w:val="0"/>
    <w:rPr>
      <w:rFonts w:ascii="Times New Roman" w:hAnsi="Times New Roman" w:eastAsia="宋体" w:cs="Times New Roman"/>
      <w:b/>
      <w:bCs/>
      <w:sz w:val="28"/>
      <w:szCs w:val="18"/>
    </w:rPr>
  </w:style>
  <w:style w:type="character" w:customStyle="1" w:styleId="33">
    <w:name w:val="标题 4 字符"/>
    <w:basedOn w:val="17"/>
    <w:link w:val="5"/>
    <w:qFormat/>
    <w:uiPriority w:val="0"/>
    <w:rPr>
      <w:rFonts w:ascii="Times New Roman" w:hAnsi="Times New Roman" w:eastAsia="宋体" w:cs="Times New Roman"/>
      <w:b/>
      <w:bCs/>
      <w:sz w:val="24"/>
      <w:szCs w:val="28"/>
    </w:rPr>
  </w:style>
  <w:style w:type="character" w:customStyle="1" w:styleId="34">
    <w:name w:val="标题 5 字符"/>
    <w:basedOn w:val="17"/>
    <w:link w:val="6"/>
    <w:qFormat/>
    <w:uiPriority w:val="0"/>
    <w:rPr>
      <w:rFonts w:ascii="Times New Roman" w:hAnsi="Times New Roman" w:eastAsia="宋体" w:cs="Times New Roman"/>
      <w:b/>
      <w:bCs/>
      <w:szCs w:val="28"/>
    </w:rPr>
  </w:style>
  <w:style w:type="character" w:customStyle="1" w:styleId="35">
    <w:name w:val="标题 6 字符"/>
    <w:basedOn w:val="17"/>
    <w:link w:val="7"/>
    <w:qFormat/>
    <w:uiPriority w:val="0"/>
    <w:rPr>
      <w:rFonts w:ascii="Cambria" w:hAnsi="Cambria" w:eastAsia="宋体" w:cs="Times New Roman"/>
      <w:b/>
      <w:bCs/>
      <w:sz w:val="24"/>
      <w:szCs w:val="24"/>
    </w:rPr>
  </w:style>
  <w:style w:type="character" w:customStyle="1" w:styleId="36">
    <w:name w:val="页眉 字符"/>
    <w:basedOn w:val="17"/>
    <w:link w:val="12"/>
    <w:qFormat/>
    <w:uiPriority w:val="99"/>
    <w:rPr>
      <w:rFonts w:ascii="Times New Roman" w:hAnsi="Times New Roman" w:eastAsia="宋体" w:cs="Times New Roman"/>
      <w:sz w:val="18"/>
      <w:szCs w:val="18"/>
    </w:rPr>
  </w:style>
  <w:style w:type="character" w:customStyle="1" w:styleId="37">
    <w:name w:val="页脚 字符"/>
    <w:basedOn w:val="17"/>
    <w:link w:val="11"/>
    <w:uiPriority w:val="99"/>
    <w:rPr>
      <w:rFonts w:ascii="Times New Roman" w:hAnsi="Times New Roman" w:eastAsia="宋体" w:cs="Times New Roman"/>
      <w:sz w:val="18"/>
      <w:szCs w:val="18"/>
    </w:rPr>
  </w:style>
  <w:style w:type="paragraph" w:customStyle="1" w:styleId="38">
    <w:name w:val="Indent Normal"/>
    <w:basedOn w:val="1"/>
    <w:qFormat/>
    <w:uiPriority w:val="0"/>
    <w:pPr>
      <w:ind w:firstLine="150" w:firstLineChars="150"/>
    </w:pPr>
    <w:rPr>
      <w:sz w:val="24"/>
    </w:rPr>
  </w:style>
  <w:style w:type="character" w:customStyle="1" w:styleId="39">
    <w:name w:val="文档结构图 字符"/>
    <w:basedOn w:val="17"/>
    <w:link w:val="8"/>
    <w:semiHidden/>
    <w:qFormat/>
    <w:uiPriority w:val="99"/>
    <w:rPr>
      <w:rFonts w:ascii="宋体" w:hAnsi="Times New Roman" w:eastAsia="宋体" w:cs="Times New Roman"/>
      <w:sz w:val="18"/>
      <w:szCs w:val="18"/>
    </w:rPr>
  </w:style>
  <w:style w:type="character" w:customStyle="1" w:styleId="40">
    <w:name w:val="批注框文本 字符"/>
    <w:basedOn w:val="17"/>
    <w:link w:val="10"/>
    <w:semiHidden/>
    <w:qFormat/>
    <w:uiPriority w:val="99"/>
    <w:rPr>
      <w:rFonts w:ascii="Times New Roman" w:hAnsi="Times New Roman" w:eastAsia="宋体" w:cs="Times New Roman"/>
      <w:sz w:val="18"/>
      <w:szCs w:val="18"/>
    </w:rPr>
  </w:style>
  <w:style w:type="paragraph" w:styleId="41">
    <w:name w:val="List Paragraph"/>
    <w:basedOn w:val="1"/>
    <w:qFormat/>
    <w:uiPriority w:val="34"/>
    <w:pPr>
      <w:ind w:firstLine="420" w:firstLineChars="200"/>
    </w:pPr>
  </w:style>
  <w:style w:type="character" w:customStyle="1" w:styleId="42">
    <w:name w:val="mini-outputtext1"/>
    <w:basedOn w:val="17"/>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A262-E226-4224-A2B2-CB1435FCAED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204</Words>
  <Characters>1169</Characters>
  <Lines>9</Lines>
  <Paragraphs>2</Paragraphs>
  <TotalTime>192</TotalTime>
  <ScaleCrop>false</ScaleCrop>
  <LinksUpToDate>false</LinksUpToDate>
  <CharactersWithSpaces>1371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2014-05-07T02:25:00Z</dcterms:created>
  <dc:creator>NTKO</dc:creator>
  <cp:lastModifiedBy>Administrator</cp:lastModifiedBy>
  <dcterms:modified xsi:type="dcterms:W3CDTF">2022-02-18T06:22:49Z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D2C2F37E399F44D593B9E0D4C38CCCCF</vt:lpwstr>
  </property>
</Properties>
</file>