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eastAsia="华文中宋"/>
          <w:b/>
          <w:color w:val="FF0000"/>
          <w:sz w:val="66"/>
        </w:rPr>
      </w:pPr>
    </w:p>
    <w:p>
      <w:pPr>
        <w:jc w:val="both"/>
        <w:rPr>
          <w:rFonts w:eastAsia="华文中宋"/>
          <w:b/>
          <w:color w:val="FF0000"/>
          <w:sz w:val="66"/>
        </w:rPr>
      </w:pPr>
    </w:p>
    <w:p>
      <w:pPr>
        <w:jc w:val="both"/>
        <w:rPr>
          <w:rFonts w:hint="eastAsia" w:ascii="仿宋_GB2312" w:hAnsi="仿宋_GB2312" w:eastAsia="仿宋_GB2312" w:cs="仿宋_GB2312"/>
          <w:sz w:val="32"/>
          <w:szCs w:val="32"/>
          <w:lang w:eastAsia="zh-CN"/>
        </w:rPr>
      </w:pPr>
      <w:r>
        <w:rPr>
          <w:rFonts w:eastAsia="华文中宋"/>
          <w:b/>
          <w:color w:val="FF0000"/>
          <w:sz w:val="66"/>
        </w:rPr>
        <w:pict>
          <v:shape id="_x0000_i1025" o:spt="136" type="#_x0000_t136" style="height:62.85pt;width:430.55pt;" fillcolor="#FF0000" filled="t" stroked="t" coordsize="21600,21600" adj="10800">
            <v:path/>
            <v:fill on="t" color2="#FFFFFF" focussize="0,0"/>
            <v:stroke color="#FF0000"/>
            <v:imagedata o:title=""/>
            <o:lock v:ext="edit" aspectratio="f"/>
            <v:textpath on="t" fitshape="t" fitpath="t" trim="t" xscale="f" string="登封市公共资源交易管理委员会办公室" style="font-family:方正小标宋简体;font-size:36pt;v-text-align:center;"/>
            <w10:wrap type="none"/>
            <w10:anchorlock/>
          </v:shape>
        </w:pict>
      </w:r>
    </w:p>
    <w:p>
      <w:pPr>
        <w:ind w:firstLine="640" w:firstLineChars="200"/>
        <w:jc w:val="center"/>
        <w:rPr>
          <w:rFonts w:hint="eastAsia" w:ascii="仿宋_GB2312" w:hAnsi="仿宋_GB2312" w:eastAsia="仿宋_GB2312" w:cs="仿宋_GB2312"/>
          <w:sz w:val="32"/>
          <w:szCs w:val="32"/>
          <w:lang w:eastAsia="zh-CN"/>
        </w:rPr>
      </w:pPr>
    </w:p>
    <w:p>
      <w:pPr>
        <w:jc w:val="both"/>
        <w:rPr>
          <w:rFonts w:hint="eastAsia" w:eastAsia="仿宋_GB2312"/>
          <w:color w:val="FF0000"/>
          <w:sz w:val="66"/>
          <w:szCs w:val="66"/>
          <w:lang w:val="en-US" w:eastAsia="zh-CN"/>
        </w:rPr>
      </w:pPr>
      <w:r>
        <w:rPr>
          <w:rFonts w:hint="eastAsia" w:ascii="仿宋_GB2312" w:hAnsi="仿宋_GB2312" w:eastAsia="仿宋_GB2312" w:cs="仿宋_GB2312"/>
          <w:sz w:val="32"/>
          <w:szCs w:val="32"/>
          <w:lang w:eastAsia="zh-CN"/>
        </w:rPr>
        <w:t>登公管办〔</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2号</w:t>
      </w:r>
      <w:r>
        <w:rPr>
          <w:rFonts w:hint="eastAsia" w:asci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签发人：王朝辉</w:t>
      </w:r>
    </w:p>
    <w:p>
      <w:pPr>
        <w:keepNext w:val="0"/>
        <w:keepLines w:val="0"/>
        <w:pageBreakBefore w:val="0"/>
        <w:widowControl w:val="0"/>
        <w:kinsoku/>
        <w:wordWrap/>
        <w:overflowPunct/>
        <w:topLinePunct w:val="0"/>
        <w:autoSpaceDE/>
        <w:autoSpaceDN/>
        <w:bidi w:val="0"/>
        <w:adjustRightInd/>
        <w:snapToGrid/>
        <w:spacing w:line="590" w:lineRule="exact"/>
        <w:ind w:left="-2" w:firstLine="2"/>
        <w:textAlignment w:val="auto"/>
        <w:rPr>
          <w:rFonts w:hint="eastAsia" w:ascii="仿宋_GB2312" w:hAnsi="仿宋_GB2312" w:eastAsia="仿宋_GB2312"/>
          <w:sz w:val="32"/>
          <w:lang w:val="en-US" w:eastAsia="zh-CN"/>
        </w:rPr>
      </w:pPr>
      <w:r>
        <w:rPr>
          <w:color w:val="FF0000"/>
          <w:sz w:val="32"/>
          <w:szCs w:val="32"/>
        </w:rP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margin">
                  <wp:posOffset>2982595</wp:posOffset>
                </wp:positionV>
                <wp:extent cx="5579745" cy="2540"/>
                <wp:effectExtent l="0" t="12700" r="1905" b="13335"/>
                <wp:wrapNone/>
                <wp:docPr id="1" name="Line 3"/>
                <wp:cNvGraphicFramePr/>
                <a:graphic xmlns:a="http://schemas.openxmlformats.org/drawingml/2006/main">
                  <a:graphicData uri="http://schemas.microsoft.com/office/word/2010/wordprocessingShape">
                    <wps:wsp>
                      <wps:cNvCnPr/>
                      <wps:spPr>
                        <a:xfrm flipV="1">
                          <a:off x="0" y="0"/>
                          <a:ext cx="5579745" cy="254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Line 3" o:spid="_x0000_s1026" o:spt="20" style="position:absolute;left:0pt;flip:y;margin-left:79.4pt;margin-top:234.85pt;height:0.2pt;width:439.35pt;mso-position-horizontal-relative:page;mso-position-vertical-relative:margin;z-index:251659264;mso-width-relative:page;mso-height-relative:page;" filled="f" stroked="t" coordsize="21600,21600" o:gfxdata="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P72vNgA&#10;AAAMAQAADwAAAAAAAAABACAAAAAiAAAAZHJzL2Rvd25yZXYueG1sUEsBAhQAFAAAAAgAh07iQLMO&#10;5YrmAQAA5wMAAA4AAAAAAAAAAQAgAAAAJwEAAGRycy9lMm9Eb2MueG1sUEsFBgAAAAAGAAYAWQEA&#10;AH8FAAAAAA==&#10;">
                <v:fill on="f" focussize="0,0"/>
                <v:stroke weight="2pt" color="#FF0000" joinstyle="round"/>
                <v:imagedata o:title=""/>
                <o:lock v:ext="edit" aspectratio="f"/>
              </v:line>
            </w:pict>
          </mc:Fallback>
        </mc:AlternateConten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firstLineChars="0"/>
        <w:jc w:val="center"/>
        <w:rPr>
          <w:rFonts w:ascii="方正小标宋简体" w:hAnsi="方正小标宋简体" w:eastAsia="方正小标宋简体" w:cs="方正小标宋简体"/>
          <w:color w:val="333333"/>
          <w:kern w:val="2"/>
          <w:sz w:val="44"/>
          <w:szCs w:val="44"/>
          <w:lang w:val="en-US" w:eastAsia="zh-CN" w:bidi="ar"/>
        </w:rPr>
      </w:pP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firstLineChars="0"/>
        <w:jc w:val="center"/>
        <w:rPr>
          <w:rFonts w:ascii="方正小标宋简体" w:hAnsi="方正小标宋简体" w:eastAsia="方正小标宋简体" w:cs="方正小标宋简体"/>
          <w:color w:val="333333"/>
          <w:kern w:val="2"/>
          <w:sz w:val="44"/>
          <w:szCs w:val="44"/>
          <w:lang w:val="en-US" w:eastAsia="zh-CN" w:bidi="ar"/>
        </w:rPr>
      </w:pPr>
      <w:r>
        <w:rPr>
          <w:rFonts w:ascii="方正小标宋简体" w:hAnsi="方正小标宋简体" w:eastAsia="方正小标宋简体" w:cs="方正小标宋简体"/>
          <w:color w:val="333333"/>
          <w:kern w:val="2"/>
          <w:sz w:val="44"/>
          <w:szCs w:val="44"/>
          <w:lang w:val="en-US" w:eastAsia="zh-CN" w:bidi="ar"/>
        </w:rPr>
        <w:t>关于规范履约保证金交纳</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firstLineChars="0"/>
        <w:jc w:val="center"/>
      </w:pPr>
      <w:r>
        <w:rPr>
          <w:rFonts w:ascii="方正小标宋简体" w:hAnsi="方正小标宋简体" w:eastAsia="方正小标宋简体" w:cs="方正小标宋简体"/>
          <w:color w:val="333333"/>
          <w:kern w:val="2"/>
          <w:sz w:val="44"/>
          <w:szCs w:val="44"/>
          <w:lang w:val="en-US" w:eastAsia="zh-CN" w:bidi="ar"/>
        </w:rPr>
        <w:t>和退还工作的</w:t>
      </w:r>
      <w:r>
        <w:rPr>
          <w:rFonts w:hint="eastAsia" w:ascii="方正小标宋简体" w:hAnsi="方正小标宋简体" w:eastAsia="方正小标宋简体" w:cs="方正小标宋简体"/>
          <w:color w:val="333333"/>
          <w:kern w:val="2"/>
          <w:sz w:val="44"/>
          <w:szCs w:val="44"/>
          <w:lang w:val="en-US" w:eastAsia="zh-CN" w:bidi="ar"/>
        </w:rPr>
        <w:t>通知</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firstLineChars="0"/>
        <w:jc w:val="left"/>
      </w:pPr>
      <w:r>
        <w:rPr>
          <w:rFonts w:hint="eastAsia" w:ascii="宋体" w:hAnsi="宋体" w:eastAsia="宋体" w:cs="Times New Roman"/>
          <w:color w:val="333333"/>
          <w:kern w:val="2"/>
          <w:sz w:val="44"/>
          <w:szCs w:val="44"/>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left"/>
      </w:pPr>
      <w:r>
        <w:rPr>
          <w:rFonts w:ascii="仿宋_GB2312" w:hAnsi="SourceHanSansCN-Regular" w:eastAsia="仿宋_GB2312" w:cs="仿宋_GB2312"/>
          <w:color w:val="333333"/>
          <w:kern w:val="2"/>
          <w:sz w:val="32"/>
          <w:szCs w:val="32"/>
          <w:lang w:val="en-US" w:eastAsia="zh-CN" w:bidi="ar"/>
        </w:rPr>
        <w:t>各行业主管部门、招标人：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SourceHanSansCN-Regular" w:eastAsia="仿宋_GB2312" w:cs="仿宋_GB2312"/>
          <w:color w:val="333333"/>
          <w:kern w:val="2"/>
          <w:sz w:val="32"/>
          <w:szCs w:val="32"/>
          <w:lang w:val="en-US" w:eastAsia="zh-CN" w:bidi="ar"/>
        </w:rPr>
      </w:pPr>
      <w:r>
        <w:rPr>
          <w:rFonts w:hint="default" w:ascii="仿宋_GB2312" w:hAnsi="SourceHanSansCN-Regular" w:eastAsia="仿宋_GB2312" w:cs="仿宋_GB2312"/>
          <w:color w:val="333333"/>
          <w:kern w:val="2"/>
          <w:sz w:val="32"/>
          <w:szCs w:val="32"/>
          <w:lang w:val="en-US" w:eastAsia="zh-CN" w:bidi="ar"/>
        </w:rPr>
        <w:t>为</w:t>
      </w:r>
      <w:r>
        <w:rPr>
          <w:rFonts w:hint="eastAsia" w:ascii="仿宋_GB2312" w:hAnsi="SourceHanSansCN-Regular" w:eastAsia="仿宋_GB2312" w:cs="仿宋_GB2312"/>
          <w:color w:val="333333"/>
          <w:kern w:val="2"/>
          <w:sz w:val="32"/>
          <w:szCs w:val="32"/>
          <w:lang w:val="en-US" w:eastAsia="zh-CN" w:bidi="ar"/>
        </w:rPr>
        <w:t>进一步优化营商环境，积极探索工程项目履约保证金交纳新模式，规范</w:t>
      </w:r>
      <w:r>
        <w:rPr>
          <w:rFonts w:hint="default" w:ascii="仿宋_GB2312" w:hAnsi="SourceHanSansCN-Regular" w:eastAsia="仿宋_GB2312" w:cs="仿宋_GB2312"/>
          <w:color w:val="333333"/>
          <w:kern w:val="2"/>
          <w:sz w:val="32"/>
          <w:szCs w:val="32"/>
          <w:lang w:val="en-US" w:eastAsia="zh-CN" w:bidi="ar"/>
        </w:rPr>
        <w:t>履约保证金交纳和退还工作，</w:t>
      </w:r>
      <w:r>
        <w:rPr>
          <w:rFonts w:hint="eastAsia" w:ascii="仿宋_GB2312" w:hAnsi="SourceHanSansCN-Regular" w:eastAsia="仿宋_GB2312" w:cs="仿宋_GB2312"/>
          <w:color w:val="333333"/>
          <w:kern w:val="2"/>
          <w:sz w:val="32"/>
          <w:szCs w:val="32"/>
          <w:lang w:val="en-US" w:eastAsia="zh-CN" w:bidi="ar"/>
        </w:rPr>
        <w:t>切实减轻企业负担。现将有关事项通知如下：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rightChars="0" w:firstLine="643" w:firstLineChars="200"/>
        <w:jc w:val="left"/>
        <w:rPr>
          <w:rFonts w:hint="eastAsia" w:ascii="黑体" w:hAnsi="黑体" w:eastAsia="黑体" w:cs="黑体"/>
          <w:b/>
          <w:bCs/>
          <w:color w:val="333333"/>
          <w:kern w:val="2"/>
          <w:sz w:val="32"/>
          <w:szCs w:val="32"/>
          <w:lang w:val="en-US" w:eastAsia="zh-CN" w:bidi="ar"/>
        </w:rPr>
      </w:pPr>
      <w:r>
        <w:rPr>
          <w:rFonts w:hint="eastAsia" w:ascii="黑体" w:hAnsi="黑体" w:eastAsia="黑体" w:cs="黑体"/>
          <w:b/>
          <w:bCs/>
          <w:color w:val="333333"/>
          <w:kern w:val="2"/>
          <w:sz w:val="32"/>
          <w:szCs w:val="32"/>
          <w:lang w:val="en-US" w:eastAsia="zh-CN" w:bidi="ar"/>
        </w:rPr>
        <w:t>一、进行履约保证金交纳新模式探索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rightChars="0"/>
        <w:jc w:val="left"/>
        <w:rPr>
          <w:rFonts w:hint="default" w:ascii="仿宋_GB2312" w:hAnsi="SourceHanSansCN-Regular" w:eastAsia="仿宋_GB2312" w:cs="仿宋_GB2312"/>
          <w:color w:val="333333"/>
          <w:kern w:val="2"/>
          <w:sz w:val="32"/>
          <w:szCs w:val="32"/>
          <w:lang w:val="en-US" w:eastAsia="zh-CN" w:bidi="ar"/>
        </w:rPr>
      </w:pPr>
      <w:r>
        <w:rPr>
          <w:rFonts w:hint="eastAsia" w:ascii="仿宋_GB2312" w:hAnsi="SourceHanSansCN-Regular" w:eastAsia="仿宋_GB2312" w:cs="仿宋_GB2312"/>
          <w:color w:val="333333"/>
          <w:kern w:val="2"/>
          <w:sz w:val="32"/>
          <w:szCs w:val="32"/>
          <w:lang w:val="en-US" w:eastAsia="zh-CN" w:bidi="ar"/>
        </w:rPr>
        <w:t xml:space="preserve">    鼓励招标采购人根据履约、质量等情况建立投标人信用库，积极探索根据项目特点和投标人信用、以往履约情况等降低履约保证金的缴纳比例。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rightChars="0" w:firstLine="640" w:firstLineChars="200"/>
        <w:jc w:val="left"/>
        <w:rPr>
          <w:rFonts w:hint="default" w:ascii="仿宋_GB2312" w:hAnsi="SourceHanSansCN-Regular" w:eastAsia="仿宋_GB2312" w:cs="仿宋_GB2312"/>
          <w:color w:val="333333"/>
          <w:kern w:val="2"/>
          <w:sz w:val="32"/>
          <w:szCs w:val="32"/>
          <w:lang w:val="en-US" w:eastAsia="zh-CN" w:bidi="ar"/>
        </w:rPr>
      </w:pPr>
      <w:r>
        <w:rPr>
          <w:rFonts w:hint="eastAsia" w:ascii="仿宋_GB2312" w:hAnsi="SourceHanSansCN-Regular" w:eastAsia="仿宋_GB2312" w:cs="仿宋_GB2312"/>
          <w:color w:val="333333"/>
          <w:kern w:val="2"/>
          <w:sz w:val="32"/>
          <w:szCs w:val="32"/>
          <w:lang w:val="en-US" w:eastAsia="zh-CN" w:bidi="ar"/>
        </w:rPr>
        <w:t>招标采购人在招标采购文件中应当明确可采取多种方式交纳履约保证金，不得强制中标人采用唯一方式交纳。鼓励但不强制使用保函或担保方式交纳履约保证金。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SourceHanSansCN-Regular" w:eastAsia="仿宋_GB2312" w:cs="仿宋_GB2312"/>
          <w:color w:val="333333"/>
          <w:kern w:val="2"/>
          <w:sz w:val="32"/>
          <w:szCs w:val="32"/>
          <w:lang w:val="en-US" w:eastAsia="zh-CN" w:bidi="ar"/>
        </w:rPr>
      </w:pPr>
      <w:r>
        <w:rPr>
          <w:rFonts w:hint="default" w:ascii="仿宋_GB2312" w:hAnsi="SourceHanSansCN-Regular" w:eastAsia="仿宋_GB2312" w:cs="仿宋_GB2312"/>
          <w:color w:val="333333"/>
          <w:kern w:val="2"/>
          <w:sz w:val="32"/>
          <w:szCs w:val="32"/>
          <w:lang w:val="en-US" w:eastAsia="zh-CN" w:bidi="ar"/>
        </w:rPr>
        <w:t>招标采购人要求提交履约保证金的，在编制招标采购文件时，须明确履约保证金缴纳和退还的方式、金额、条件和时限等内容，同时须在招标采购文件的合同条款中明确履约保证金交纳和退还的相关条款</w:t>
      </w:r>
      <w:r>
        <w:rPr>
          <w:rFonts w:hint="eastAsia" w:ascii="仿宋_GB2312" w:hAnsi="SourceHanSansCN-Regular" w:eastAsia="仿宋_GB2312" w:cs="仿宋_GB2312"/>
          <w:color w:val="333333"/>
          <w:kern w:val="2"/>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left"/>
        <w:rPr>
          <w:rFonts w:hint="eastAsia" w:ascii="黑体" w:hAnsi="黑体" w:eastAsia="黑体" w:cs="黑体"/>
          <w:b/>
          <w:bCs/>
          <w:sz w:val="32"/>
          <w:szCs w:val="32"/>
        </w:rPr>
      </w:pPr>
      <w:r>
        <w:rPr>
          <w:rFonts w:hint="eastAsia" w:ascii="黑体" w:hAnsi="黑体" w:eastAsia="黑体" w:cs="黑体"/>
          <w:b/>
          <w:bCs/>
          <w:color w:val="333333"/>
          <w:kern w:val="2"/>
          <w:sz w:val="32"/>
          <w:szCs w:val="32"/>
          <w:lang w:val="en-US" w:eastAsia="zh-CN" w:bidi="ar"/>
        </w:rPr>
        <w:t>二、履约保证金交纳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default" w:ascii="仿宋_GB2312" w:hAnsi="SourceHanSansCN-Regular" w:eastAsia="仿宋_GB2312" w:cs="仿宋_GB2312"/>
          <w:color w:val="333333"/>
          <w:kern w:val="2"/>
          <w:sz w:val="32"/>
          <w:szCs w:val="32"/>
          <w:lang w:val="en-US" w:eastAsia="zh-CN" w:bidi="ar"/>
        </w:rPr>
        <w:t>履约保证金交纳方式包括转账、银行汇票、支票以及由银行或第三方担保机构出具的履约保函或担保等方式。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left"/>
        <w:rPr>
          <w:b/>
          <w:bCs/>
        </w:rPr>
      </w:pPr>
      <w:r>
        <w:rPr>
          <w:rFonts w:ascii="楷体" w:hAnsi="楷体" w:eastAsia="楷体" w:cs="楷体"/>
          <w:b/>
          <w:bCs/>
          <w:color w:val="333333"/>
          <w:kern w:val="2"/>
          <w:sz w:val="32"/>
          <w:szCs w:val="32"/>
          <w:lang w:val="en-US" w:eastAsia="zh-CN" w:bidi="ar"/>
        </w:rPr>
        <w:t>(一）以非保函方式交纳履约保证金的，按以下要求办理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default" w:ascii="仿宋_GB2312" w:hAnsi="SourceHanSansCN-Regular" w:eastAsia="仿宋_GB2312" w:cs="仿宋_GB2312"/>
          <w:color w:val="333333"/>
          <w:kern w:val="2"/>
          <w:sz w:val="32"/>
          <w:szCs w:val="32"/>
          <w:lang w:val="en-US" w:eastAsia="zh-CN" w:bidi="ar"/>
        </w:rPr>
        <w:t>1.合同签订前，中标人将履约保证金按招标采购文件中指定的方式、金额等缴纳至招标人指定账户。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default" w:ascii="仿宋_GB2312" w:hAnsi="SourceHanSansCN-Regular" w:eastAsia="仿宋_GB2312" w:cs="仿宋_GB2312"/>
          <w:color w:val="333333"/>
          <w:kern w:val="2"/>
          <w:sz w:val="32"/>
          <w:szCs w:val="32"/>
          <w:lang w:val="en-US" w:eastAsia="zh-CN" w:bidi="ar"/>
        </w:rPr>
        <w:t>2.中标人持加盖单位公章的银行转账凭证到招标采购人处领取履约保证金已缴纳的收据或证明。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default" w:ascii="仿宋_GB2312" w:hAnsi="SourceHanSansCN-Regular" w:eastAsia="仿宋_GB2312" w:cs="仿宋_GB2312"/>
          <w:color w:val="333333"/>
          <w:kern w:val="2"/>
          <w:sz w:val="32"/>
          <w:szCs w:val="32"/>
          <w:lang w:val="en-US" w:eastAsia="zh-CN" w:bidi="ar"/>
        </w:rPr>
        <w:t>3.中标人凭履约保证金已缴纳的收据或证明与招标采购人签订合同。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left"/>
      </w:pPr>
      <w:r>
        <w:rPr>
          <w:rFonts w:hint="eastAsia" w:ascii="楷体" w:hAnsi="楷体" w:eastAsia="楷体" w:cs="楷体"/>
          <w:b/>
          <w:bCs/>
          <w:color w:val="333333"/>
          <w:kern w:val="2"/>
          <w:sz w:val="32"/>
          <w:szCs w:val="32"/>
          <w:lang w:val="en-US" w:eastAsia="zh-CN" w:bidi="ar"/>
        </w:rPr>
        <w:t>(二）以保函或担保方式交纳履约保证金的，按以下要求办理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default" w:ascii="仿宋_GB2312" w:hAnsi="SourceHanSansCN-Regular" w:eastAsia="仿宋_GB2312" w:cs="仿宋_GB2312"/>
          <w:color w:val="333333"/>
          <w:kern w:val="2"/>
          <w:sz w:val="32"/>
          <w:szCs w:val="32"/>
          <w:lang w:val="en-US" w:eastAsia="zh-CN" w:bidi="ar"/>
        </w:rPr>
        <w:t>1.中标人开具履约保函或担保。提供履约保函、担保的金融机构或担保机构，须经国务院银行业监督管理机构批准设立、颁发金融许可证且具有相应业务资格，其中政府采购项目应由金融机构或财政部门认可的担保机构出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default" w:ascii="仿宋_GB2312" w:hAnsi="SourceHanSansCN-Regular" w:eastAsia="仿宋_GB2312" w:cs="仿宋_GB2312"/>
          <w:color w:val="333333"/>
          <w:kern w:val="2"/>
          <w:sz w:val="32"/>
          <w:szCs w:val="32"/>
          <w:lang w:val="en-US" w:eastAsia="zh-CN" w:bidi="ar"/>
        </w:rPr>
        <w:t>2.招标采购人对履约保函或担保的真实性和有效性负责，并及时进行核实，出具审核意见。对发现提供虚假保函或担保的，将有关情况移送行政监管部门处理，并纳入信用管理。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default" w:ascii="仿宋_GB2312" w:hAnsi="SourceHanSansCN-Regular" w:eastAsia="仿宋_GB2312" w:cs="仿宋_GB2312"/>
          <w:color w:val="333333"/>
          <w:kern w:val="2"/>
          <w:sz w:val="32"/>
          <w:szCs w:val="32"/>
          <w:lang w:val="en-US" w:eastAsia="zh-CN" w:bidi="ar"/>
        </w:rPr>
        <w:t>3.招标采购人凭保函或担保与中标人签订合同。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3" w:firstLineChars="200"/>
        <w:jc w:val="left"/>
        <w:rPr>
          <w:rFonts w:hint="eastAsia" w:ascii="黑体" w:hAnsi="黑体" w:eastAsia="黑体" w:cs="黑体"/>
          <w:b/>
          <w:bCs/>
          <w:sz w:val="32"/>
          <w:szCs w:val="32"/>
        </w:rPr>
      </w:pPr>
      <w:r>
        <w:rPr>
          <w:rFonts w:hint="eastAsia" w:ascii="黑体" w:hAnsi="黑体" w:eastAsia="黑体" w:cs="黑体"/>
          <w:b/>
          <w:bCs/>
          <w:color w:val="333333"/>
          <w:kern w:val="2"/>
          <w:sz w:val="32"/>
          <w:szCs w:val="32"/>
          <w:lang w:val="en-US" w:eastAsia="zh-CN" w:bidi="ar"/>
        </w:rPr>
        <w:t>三、履约保证金退还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default" w:ascii="仿宋_GB2312" w:hAnsi="SourceHanSansCN-Regular" w:eastAsia="仿宋_GB2312" w:cs="仿宋_GB2312"/>
          <w:color w:val="333333"/>
          <w:kern w:val="2"/>
          <w:sz w:val="32"/>
          <w:szCs w:val="32"/>
          <w:lang w:val="en-US" w:eastAsia="zh-CN" w:bidi="ar"/>
        </w:rPr>
      </w:pPr>
      <w:r>
        <w:rPr>
          <w:rFonts w:hint="default" w:ascii="仿宋_GB2312" w:hAnsi="SourceHanSansCN-Regular" w:eastAsia="仿宋_GB2312" w:cs="仿宋_GB2312"/>
          <w:color w:val="333333"/>
          <w:kern w:val="2"/>
          <w:sz w:val="32"/>
          <w:szCs w:val="32"/>
          <w:lang w:val="en-US" w:eastAsia="zh-CN" w:bidi="ar"/>
        </w:rPr>
        <w:t>招标采购人须按招标采购文件和合同条款中约定的方式、金额、条件和时限等，当工程完工并由招标人进行验收后，</w:t>
      </w:r>
      <w:r>
        <w:rPr>
          <w:rFonts w:hint="eastAsia" w:ascii="仿宋_GB2312" w:hAnsi="SourceHanSansCN-Regular" w:eastAsia="仿宋_GB2312" w:cs="仿宋_GB2312"/>
          <w:color w:val="333333"/>
          <w:kern w:val="2"/>
          <w:sz w:val="32"/>
          <w:szCs w:val="32"/>
          <w:lang w:val="en-US" w:eastAsia="zh-CN" w:bidi="ar"/>
        </w:rPr>
        <w:t>28</w:t>
      </w:r>
      <w:r>
        <w:rPr>
          <w:rFonts w:hint="default" w:ascii="仿宋_GB2312" w:hAnsi="SourceHanSansCN-Regular" w:eastAsia="仿宋_GB2312" w:cs="仿宋_GB2312"/>
          <w:color w:val="333333"/>
          <w:kern w:val="2"/>
          <w:sz w:val="32"/>
          <w:szCs w:val="32"/>
          <w:lang w:val="en-US" w:eastAsia="zh-CN" w:bidi="ar"/>
        </w:rPr>
        <w:t>天内退还履约保证金。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default" w:ascii="仿宋_GB2312" w:hAnsi="SourceHanSansCN-Regular" w:eastAsia="仿宋_GB2312" w:cs="仿宋_GB2312"/>
          <w:color w:val="333333"/>
          <w:kern w:val="2"/>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right"/>
        <w:rPr>
          <w:rFonts w:hint="default" w:ascii="仿宋_GB2312" w:hAnsi="SourceHanSansCN-Regular" w:eastAsia="仿宋_GB2312" w:cs="仿宋_GB2312"/>
          <w:color w:val="333333"/>
          <w:kern w:val="2"/>
          <w:sz w:val="32"/>
          <w:szCs w:val="32"/>
          <w:lang w:val="en-US" w:eastAsia="zh-CN" w:bidi="ar"/>
        </w:rPr>
      </w:pPr>
      <w:r>
        <w:rPr>
          <w:rFonts w:hint="eastAsia" w:ascii="仿宋_GB2312" w:hAnsi="SourceHanSansCN-Regular" w:eastAsia="仿宋_GB2312" w:cs="仿宋_GB2312"/>
          <w:color w:val="333333"/>
          <w:kern w:val="2"/>
          <w:sz w:val="32"/>
          <w:szCs w:val="32"/>
          <w:lang w:val="en-US" w:eastAsia="zh-CN" w:bidi="ar"/>
        </w:rPr>
        <w:t xml:space="preserve">                            2021年2月15日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default" w:ascii="仿宋_GB2312" w:hAnsi="SourceHanSansCN-Regular" w:eastAsia="仿宋_GB2312" w:cs="仿宋_GB2312"/>
          <w:color w:val="333333"/>
          <w:kern w:val="2"/>
          <w:sz w:val="32"/>
          <w:szCs w:val="32"/>
          <w:lang w:val="en-US" w:eastAsia="zh-CN" w:bidi="ar"/>
        </w:rPr>
        <w:t xml:space="preserve">  </w:t>
      </w:r>
    </w:p>
    <w:p>
      <w:pPr>
        <w:ind w:firstLine="640" w:firstLineChars="200"/>
        <w:jc w:val="right"/>
        <w:rPr>
          <w:rFonts w:hint="default" w:ascii="仿宋_GB2312" w:hAnsi="仿宋_GB2312" w:eastAsia="仿宋_GB2312" w:cs="仿宋_GB2312"/>
          <w:sz w:val="32"/>
          <w:szCs w:val="32"/>
          <w:lang w:val="en-US" w:eastAsia="zh-CN"/>
        </w:rPr>
      </w:pPr>
      <w:r>
        <w:rPr>
          <w:rFonts w:hint="default" w:ascii="仿宋_GB2312" w:hAnsi="SourceHanSansCN-Regular" w:eastAsia="仿宋_GB2312" w:cs="仿宋_GB2312"/>
          <w:color w:val="333333"/>
          <w:kern w:val="2"/>
          <w:sz w:val="32"/>
          <w:szCs w:val="32"/>
          <w:lang w:val="en-US" w:eastAsia="zh-CN" w:bidi="ar"/>
        </w:rPr>
        <w:t xml:space="preserve">     </w:t>
      </w:r>
      <w:bookmarkStart w:id="0" w:name="_GoBack"/>
      <w:bookmarkEnd w:id="0"/>
      <w:r>
        <w:rPr>
          <w:rFonts w:hint="default" w:ascii="仿宋_GB2312" w:hAnsi="SourceHanSansCN-Regular" w:eastAsia="仿宋_GB2312" w:cs="仿宋_GB2312"/>
          <w:color w:val="333333"/>
          <w:kern w:val="2"/>
          <w:sz w:val="32"/>
          <w:szCs w:val="32"/>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ourceHanSansCN-Regular">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071E8"/>
    <w:rsid w:val="11F24664"/>
    <w:rsid w:val="1F2C3763"/>
    <w:rsid w:val="1F9230FC"/>
    <w:rsid w:val="52F92418"/>
    <w:rsid w:val="603071E8"/>
    <w:rsid w:val="66460A18"/>
    <w:rsid w:val="716255AE"/>
    <w:rsid w:val="7DD17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bCs/>
    </w:rPr>
  </w:style>
  <w:style w:type="character" w:styleId="5">
    <w:name w:val="FollowedHyperlink"/>
    <w:basedOn w:val="3"/>
    <w:qFormat/>
    <w:uiPriority w:val="0"/>
    <w:rPr>
      <w:color w:val="800080"/>
      <w:u w:val="none"/>
    </w:rPr>
  </w:style>
  <w:style w:type="character" w:styleId="6">
    <w:name w:val="Emphasis"/>
    <w:basedOn w:val="3"/>
    <w:qFormat/>
    <w:uiPriority w:val="0"/>
  </w:style>
  <w:style w:type="character" w:styleId="7">
    <w:name w:val="HTML Definition"/>
    <w:basedOn w:val="3"/>
    <w:qFormat/>
    <w:uiPriority w:val="0"/>
  </w:style>
  <w:style w:type="character" w:styleId="8">
    <w:name w:val="HTML Typewriter"/>
    <w:basedOn w:val="3"/>
    <w:qFormat/>
    <w:uiPriority w:val="0"/>
    <w:rPr>
      <w:rFonts w:hint="default" w:ascii="monospace" w:hAnsi="monospace" w:eastAsia="monospace" w:cs="monospace"/>
      <w:sz w:val="20"/>
    </w:rPr>
  </w:style>
  <w:style w:type="character" w:styleId="9">
    <w:name w:val="HTML Acronym"/>
    <w:basedOn w:val="3"/>
    <w:qFormat/>
    <w:uiPriority w:val="0"/>
  </w:style>
  <w:style w:type="character" w:styleId="10">
    <w:name w:val="HTML Variable"/>
    <w:basedOn w:val="3"/>
    <w:qFormat/>
    <w:uiPriority w:val="0"/>
  </w:style>
  <w:style w:type="character" w:styleId="11">
    <w:name w:val="Hyperlink"/>
    <w:basedOn w:val="3"/>
    <w:qFormat/>
    <w:uiPriority w:val="0"/>
    <w:rPr>
      <w:color w:val="0000FF"/>
      <w:u w:val="none"/>
    </w:rPr>
  </w:style>
  <w:style w:type="character" w:styleId="12">
    <w:name w:val="HTML Code"/>
    <w:basedOn w:val="3"/>
    <w:qFormat/>
    <w:uiPriority w:val="0"/>
    <w:rPr>
      <w:rFonts w:hint="default" w:ascii="monospace" w:hAnsi="monospace" w:eastAsia="monospace" w:cs="monospace"/>
      <w:sz w:val="20"/>
    </w:rPr>
  </w:style>
  <w:style w:type="character" w:styleId="13">
    <w:name w:val="HTML Cite"/>
    <w:basedOn w:val="3"/>
    <w:qFormat/>
    <w:uiPriority w:val="0"/>
  </w:style>
  <w:style w:type="character" w:styleId="14">
    <w:name w:val="HTML Keyboard"/>
    <w:basedOn w:val="3"/>
    <w:qFormat/>
    <w:uiPriority w:val="0"/>
    <w:rPr>
      <w:rFonts w:ascii="monospace" w:hAnsi="monospace" w:eastAsia="monospace" w:cs="monospace"/>
      <w:sz w:val="20"/>
    </w:rPr>
  </w:style>
  <w:style w:type="character" w:styleId="15">
    <w:name w:val="HTML Sample"/>
    <w:basedOn w:val="3"/>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2022-02-18T02:03:00Z</dcterms:created>
  <dc:creator>Administrator</dc:creator>
  <cp:lastModifiedBy>Administrator</cp:lastModifiedBy>
  <dcterms:modified xsi:type="dcterms:W3CDTF">2022-02-19T03:26:03Z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B6412A0A73164091BE768555CEC75447</vt:lpwstr>
  </property>
</Properties>
</file>