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839D" w14:textId="77777777" w:rsidR="00E818F9" w:rsidRDefault="00E818F9">
      <w:pPr>
        <w:jc w:val="left"/>
        <w:rPr>
          <w:rFonts w:eastAsia="黑体"/>
          <w:sz w:val="24"/>
          <w:u w:val="single"/>
        </w:rPr>
      </w:pPr>
    </w:p>
    <w:p w14:paraId="692ADE06" w14:textId="77777777" w:rsidR="00E818F9" w:rsidRDefault="00E818F9">
      <w:pPr>
        <w:jc w:val="left"/>
        <w:rPr>
          <w:rFonts w:ascii="仿宋" w:eastAsia="仿宋" w:hAnsi="仿宋" w:cs="仿宋"/>
          <w:sz w:val="44"/>
          <w:szCs w:val="44"/>
          <w:u w:val="single"/>
        </w:rPr>
      </w:pPr>
    </w:p>
    <w:p w14:paraId="2C946AAA" w14:textId="77777777" w:rsidR="00E818F9" w:rsidRDefault="00A64791">
      <w:pPr>
        <w:ind w:firstLineChars="200" w:firstLine="880"/>
        <w:jc w:val="left"/>
      </w:pPr>
      <w:r>
        <w:rPr>
          <w:rFonts w:ascii="仿宋" w:eastAsia="仿宋" w:hAnsi="仿宋" w:cs="仿宋" w:hint="eastAsia"/>
          <w:sz w:val="44"/>
          <w:szCs w:val="44"/>
          <w:u w:val="single"/>
        </w:rPr>
        <w:t xml:space="preserve">       </w:t>
      </w:r>
      <w:r>
        <w:rPr>
          <w:rFonts w:ascii="仿宋" w:eastAsia="仿宋" w:hAnsi="仿宋" w:cs="仿宋" w:hint="eastAsia"/>
          <w:sz w:val="44"/>
          <w:szCs w:val="44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i/>
          <w:iCs/>
          <w:sz w:val="44"/>
          <w:szCs w:val="44"/>
          <w:u w:val="single"/>
        </w:rPr>
        <w:t>资格预审公告名称</w:t>
      </w:r>
      <w:r>
        <w:rPr>
          <w:rFonts w:ascii="仿宋" w:eastAsia="仿宋" w:hAnsi="仿宋" w:cs="仿宋" w:hint="eastAsia"/>
          <w:b/>
          <w:bCs/>
          <w:sz w:val="44"/>
          <w:szCs w:val="44"/>
          <w:u w:val="single"/>
        </w:rPr>
        <w:t xml:space="preserve"> </w:t>
      </w:r>
      <w:r>
        <w:rPr>
          <w:rFonts w:ascii="仿宋" w:eastAsia="仿宋" w:hAnsi="仿宋" w:cs="仿宋" w:hint="eastAsia"/>
          <w:sz w:val="44"/>
          <w:szCs w:val="44"/>
          <w:u w:val="single"/>
        </w:rPr>
        <w:t xml:space="preserve">    </w:t>
      </w:r>
      <w:r>
        <w:rPr>
          <w:rFonts w:ascii="仿宋" w:eastAsia="仿宋" w:hAnsi="仿宋" w:cs="仿宋" w:hint="eastAsia"/>
          <w:sz w:val="44"/>
          <w:szCs w:val="44"/>
          <w:u w:val="single"/>
        </w:rPr>
        <w:t xml:space="preserve"> </w:t>
      </w:r>
      <w:r>
        <w:rPr>
          <w:rFonts w:eastAsia="黑体" w:hint="eastAsia"/>
          <w:sz w:val="44"/>
          <w:szCs w:val="44"/>
          <w:u w:val="single"/>
        </w:rPr>
        <w:t xml:space="preserve"> </w:t>
      </w:r>
    </w:p>
    <w:p w14:paraId="54CCD778" w14:textId="77777777" w:rsidR="00E818F9" w:rsidRDefault="00A64791">
      <w:pPr>
        <w:ind w:firstLineChars="800" w:firstLine="2240"/>
        <w:rPr>
          <w:rFonts w:eastAsia="黑体"/>
          <w:sz w:val="44"/>
          <w:szCs w:val="44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招标编号：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        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p w14:paraId="5172FD05" w14:textId="77777777" w:rsidR="00E818F9" w:rsidRDefault="00E818F9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43618E45" w14:textId="77777777" w:rsidR="00E818F9" w:rsidRDefault="00A64791">
      <w:pPr>
        <w:spacing w:line="360" w:lineRule="auto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资格预审公告发布时间：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</w:p>
    <w:p w14:paraId="109BC4A9" w14:textId="77777777" w:rsidR="00E818F9" w:rsidRDefault="00A64791">
      <w:pPr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一、资格预审条件</w:t>
      </w:r>
    </w:p>
    <w:p w14:paraId="42D447D5" w14:textId="77777777" w:rsidR="00E818F9" w:rsidRDefault="00A64791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招标项目名称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已由项目审批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核准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备案机关批准，项目资金来自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分别写明各种资金来源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，招标人为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。本项目已具备招标条件，现进行公开招标，特邀请有兴趣的潜在投标人提出资格预审申请。</w:t>
      </w:r>
    </w:p>
    <w:p w14:paraId="64D4984F" w14:textId="77777777" w:rsidR="00E818F9" w:rsidRDefault="00A64791">
      <w:pPr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二、项目概况和招标范围</w:t>
      </w:r>
    </w:p>
    <w:p w14:paraId="4AE3F80C" w14:textId="77777777" w:rsidR="00E818F9" w:rsidRDefault="00A64791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本招标项目分为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标段包数量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个标段，其中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标段包划分情况描述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；本次资格预审的范围为其中的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本资格预审公告包含的标段包名称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标段。</w:t>
      </w:r>
    </w:p>
    <w:p w14:paraId="26AFCD09" w14:textId="77777777" w:rsidR="00E818F9" w:rsidRDefault="00A64791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本次资格预审采用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有限数量制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/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合格制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方式。</w:t>
      </w:r>
    </w:p>
    <w:p w14:paraId="4159A298" w14:textId="77777777" w:rsidR="00E818F9" w:rsidRDefault="00A64791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三、申请人资格要求</w:t>
      </w:r>
    </w:p>
    <w:p w14:paraId="26BF7045" w14:textId="77777777" w:rsidR="00E818F9" w:rsidRDefault="00A64791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本项目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允许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/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不允许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联合体投标。</w:t>
      </w:r>
    </w:p>
    <w:p w14:paraId="1942D2BF" w14:textId="77777777" w:rsidR="00E818F9" w:rsidRDefault="00A64791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本资格预审公告中包含的标段包中对于申请人资格的描述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</w:p>
    <w:p w14:paraId="339BAE66" w14:textId="77777777" w:rsidR="00E818F9" w:rsidRDefault="00A64791">
      <w:pPr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四、资格预审文件的获取</w:t>
      </w:r>
    </w:p>
    <w:p w14:paraId="767E3DB1" w14:textId="50F53DC0" w:rsidR="00E818F9" w:rsidRDefault="00A64791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凡有意参加资格预审者，应首先完成诚信库入库登记（具体办理事宜请查询登封市公共资源交易中心网站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办事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指南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《登封市公共资源电子交易平台交易主体诚信库入库指南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》）；诚信库入库登记通过后，方可办理</w:t>
      </w:r>
      <w:r>
        <w:rPr>
          <w:rFonts w:ascii="仿宋" w:eastAsia="仿宋" w:hAnsi="仿宋" w:cs="仿宋" w:hint="eastAsia"/>
          <w:sz w:val="32"/>
          <w:szCs w:val="32"/>
        </w:rPr>
        <w:t>CA</w:t>
      </w:r>
      <w:r>
        <w:rPr>
          <w:rFonts w:ascii="仿宋" w:eastAsia="仿宋" w:hAnsi="仿宋" w:cs="仿宋" w:hint="eastAsia"/>
          <w:sz w:val="32"/>
          <w:szCs w:val="32"/>
        </w:rPr>
        <w:t>数字证书及电子签章（具体办理事宜请查询登封市公共资源交易中心网站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办事指南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《登封市公共资源交易</w:t>
      </w:r>
      <w:r>
        <w:rPr>
          <w:rFonts w:ascii="仿宋" w:eastAsia="仿宋" w:hAnsi="仿宋" w:cs="仿宋" w:hint="eastAsia"/>
          <w:sz w:val="32"/>
          <w:szCs w:val="32"/>
        </w:rPr>
        <w:t>中心交易主体</w:t>
      </w:r>
      <w:r>
        <w:rPr>
          <w:rFonts w:ascii="仿宋" w:eastAsia="仿宋" w:hAnsi="仿宋" w:cs="仿宋" w:hint="eastAsia"/>
          <w:sz w:val="32"/>
          <w:szCs w:val="32"/>
        </w:rPr>
        <w:t>CA</w:t>
      </w:r>
      <w:r>
        <w:rPr>
          <w:rFonts w:ascii="仿宋" w:eastAsia="仿宋" w:hAnsi="仿宋" w:cs="仿宋" w:hint="eastAsia"/>
          <w:sz w:val="32"/>
          <w:szCs w:val="32"/>
        </w:rPr>
        <w:t>办理指南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》）。</w:t>
      </w:r>
    </w:p>
    <w:p w14:paraId="6411A9CF" w14:textId="77777777" w:rsidR="00E818F9" w:rsidRDefault="00A64791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然后凭领取的企业身份认证锁（</w:t>
      </w:r>
      <w:r>
        <w:rPr>
          <w:rFonts w:ascii="仿宋" w:eastAsia="仿宋" w:hAnsi="仿宋" w:cs="仿宋" w:hint="eastAsia"/>
          <w:sz w:val="32"/>
          <w:szCs w:val="32"/>
        </w:rPr>
        <w:t>CA</w:t>
      </w:r>
      <w:r>
        <w:rPr>
          <w:rFonts w:ascii="仿宋" w:eastAsia="仿宋" w:hAnsi="仿宋" w:cs="仿宋" w:hint="eastAsia"/>
          <w:sz w:val="32"/>
          <w:szCs w:val="32"/>
        </w:rPr>
        <w:t>密钥），于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报名时间段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，登录“登封市公共资源交易中心网站”，进行网上报名，并按网站提示下载资格预审文件，资格预审文件以“登封市公共资源交易中心网站”的电子文件为准，招标人不再提供纸质招标文件。投标人未按规定在网上下载电子资格预审文件的，其投标将被拒绝。资格预审文件每套售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元，在开标截</w:t>
      </w:r>
      <w:r>
        <w:rPr>
          <w:rFonts w:ascii="仿宋" w:eastAsia="仿宋" w:hAnsi="仿宋" w:cs="仿宋" w:hint="eastAsia"/>
          <w:sz w:val="32"/>
          <w:szCs w:val="32"/>
        </w:rPr>
        <w:t>止时间前以现金形式现场缴纳，逾期投标将被拒绝。</w:t>
      </w:r>
    </w:p>
    <w:p w14:paraId="14AC4371" w14:textId="77777777" w:rsidR="00E818F9" w:rsidRDefault="00A64791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登封市公共资源交易中心网站：</w:t>
      </w:r>
      <w:r>
        <w:rPr>
          <w:rFonts w:ascii="仿宋" w:eastAsia="仿宋" w:hAnsi="仿宋" w:cs="仿宋" w:hint="eastAsia"/>
          <w:sz w:val="32"/>
          <w:szCs w:val="32"/>
        </w:rPr>
        <w:t>http://www.dfggzyjy.com/</w:t>
      </w:r>
    </w:p>
    <w:p w14:paraId="2FA40657" w14:textId="77777777" w:rsidR="00E818F9" w:rsidRDefault="00A64791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资格预审申请文件的递交</w:t>
      </w:r>
    </w:p>
    <w:p w14:paraId="42940B9A" w14:textId="77777777" w:rsidR="00E818F9" w:rsidRDefault="00A64791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资格预审申请文件递交的截止时间为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，资格预审申请文件递交方法为：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</w:rPr>
        <w:t>，地点为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。逾期送达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递交的或者未送达指定地点的资格预审申请文件，招标人或其招标代理机构将不予受理。</w:t>
      </w:r>
    </w:p>
    <w:p w14:paraId="448DDE2C" w14:textId="77777777" w:rsidR="00E818F9" w:rsidRDefault="00A64791">
      <w:pPr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六、资格预审开始时间及地点</w:t>
      </w:r>
    </w:p>
    <w:p w14:paraId="119125EA" w14:textId="77777777" w:rsidR="00E818F9" w:rsidRDefault="00A64791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08683304" w14:textId="77777777" w:rsidR="00E818F9" w:rsidRDefault="00A64791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地点：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079CBFD" w14:textId="77777777" w:rsidR="00E818F9" w:rsidRDefault="00A64791">
      <w:pPr>
        <w:spacing w:line="36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七、其他</w:t>
      </w:r>
    </w:p>
    <w:p w14:paraId="7B9370D7" w14:textId="77777777" w:rsidR="00E818F9" w:rsidRDefault="00A64791">
      <w:pPr>
        <w:spacing w:line="360" w:lineRule="auto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</w:t>
      </w:r>
    </w:p>
    <w:p w14:paraId="625CD054" w14:textId="77777777" w:rsidR="00E818F9" w:rsidRDefault="00A64791">
      <w:pPr>
        <w:spacing w:line="4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监督部门</w:t>
      </w:r>
    </w:p>
    <w:p w14:paraId="1DB119D5" w14:textId="77777777" w:rsidR="00E818F9" w:rsidRDefault="00A64791">
      <w:pPr>
        <w:spacing w:line="4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本招标项目的监督部门为：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i/>
          <w:iCs/>
          <w:sz w:val="32"/>
          <w:szCs w:val="32"/>
          <w:u w:val="single"/>
        </w:rPr>
        <w:t>监督部门名称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</w:t>
      </w:r>
    </w:p>
    <w:p w14:paraId="2E38C8C3" w14:textId="77777777" w:rsidR="00E818F9" w:rsidRDefault="00A64791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九、联系方式</w:t>
      </w:r>
    </w:p>
    <w:p w14:paraId="537AA626" w14:textId="77777777" w:rsidR="00E818F9" w:rsidRDefault="00A6479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标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人：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</w:p>
    <w:p w14:paraId="2344DA52" w14:textId="77777777" w:rsidR="00E818F9" w:rsidRDefault="00A6479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址：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</w:t>
      </w:r>
    </w:p>
    <w:p w14:paraId="23783F74" w14:textId="77777777" w:rsidR="00E818F9" w:rsidRDefault="00A6479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系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人：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</w:p>
    <w:p w14:paraId="5726F971" w14:textId="77777777" w:rsidR="00E818F9" w:rsidRDefault="00A6479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话：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</w:t>
      </w:r>
    </w:p>
    <w:p w14:paraId="0D3C35A7" w14:textId="77777777" w:rsidR="00E818F9" w:rsidRDefault="00A6479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电子邮件：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</w:p>
    <w:p w14:paraId="59E2F3B9" w14:textId="77777777" w:rsidR="00E818F9" w:rsidRDefault="00A64791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招标代理机构：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</w:t>
      </w:r>
    </w:p>
    <w:p w14:paraId="72ACF8EA" w14:textId="77777777" w:rsidR="00E818F9" w:rsidRDefault="00A64791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地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址：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14:paraId="70D61ABF" w14:textId="77777777" w:rsidR="00E818F9" w:rsidRDefault="00A64791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联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系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14:paraId="60CD0766" w14:textId="77777777" w:rsidR="00E818F9" w:rsidRDefault="00A64791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电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</w:t>
      </w:r>
    </w:p>
    <w:p w14:paraId="34A1B131" w14:textId="77777777" w:rsidR="00E818F9" w:rsidRDefault="00A64791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电子邮件：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</w:t>
      </w:r>
    </w:p>
    <w:p w14:paraId="3A17762C" w14:textId="77777777" w:rsidR="00E818F9" w:rsidRDefault="00E818F9">
      <w:pPr>
        <w:rPr>
          <w:rFonts w:ascii="仿宋" w:eastAsia="仿宋" w:hAnsi="仿宋" w:cs="仿宋"/>
          <w:sz w:val="32"/>
          <w:szCs w:val="32"/>
        </w:rPr>
      </w:pPr>
    </w:p>
    <w:p w14:paraId="311D59DD" w14:textId="77777777" w:rsidR="00E818F9" w:rsidRDefault="00A647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招标人或其招标代理机构机构主要负责人（项目负责人）：</w:t>
      </w:r>
    </w:p>
    <w:p w14:paraId="4E0D51FE" w14:textId="77777777" w:rsidR="00E818F9" w:rsidRDefault="00E818F9">
      <w:pPr>
        <w:rPr>
          <w:rFonts w:ascii="仿宋" w:eastAsia="仿宋" w:hAnsi="仿宋" w:cs="仿宋"/>
          <w:sz w:val="32"/>
          <w:szCs w:val="32"/>
        </w:rPr>
      </w:pPr>
    </w:p>
    <w:p w14:paraId="700F6DE3" w14:textId="77777777" w:rsidR="00E818F9" w:rsidRDefault="00A647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（电子签名）</w:t>
      </w: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</w:p>
    <w:p w14:paraId="1AF79DE5" w14:textId="77777777" w:rsidR="00E818F9" w:rsidRDefault="00A647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机构名称：</w:t>
      </w:r>
    </w:p>
    <w:p w14:paraId="28711A8E" w14:textId="77777777" w:rsidR="00E818F9" w:rsidRDefault="00A64791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（电子盖章）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</w:t>
      </w:r>
    </w:p>
    <w:p w14:paraId="1614948D" w14:textId="77777777" w:rsidR="00E818F9" w:rsidRDefault="00A647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</w:p>
    <w:sectPr w:rsidR="00E81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353A0"/>
    <w:multiLevelType w:val="singleLevel"/>
    <w:tmpl w:val="5A4353A0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632D35"/>
    <w:rsid w:val="00A64791"/>
    <w:rsid w:val="00E818F9"/>
    <w:rsid w:val="02200003"/>
    <w:rsid w:val="027A7638"/>
    <w:rsid w:val="077607EB"/>
    <w:rsid w:val="08B233E3"/>
    <w:rsid w:val="0B6A02D7"/>
    <w:rsid w:val="143726D3"/>
    <w:rsid w:val="182B3500"/>
    <w:rsid w:val="1F9E0F3C"/>
    <w:rsid w:val="203E0A32"/>
    <w:rsid w:val="20A86E32"/>
    <w:rsid w:val="20F947AE"/>
    <w:rsid w:val="21D16082"/>
    <w:rsid w:val="261372CB"/>
    <w:rsid w:val="28ED6B8B"/>
    <w:rsid w:val="29FE4243"/>
    <w:rsid w:val="2B5C326F"/>
    <w:rsid w:val="337D0A44"/>
    <w:rsid w:val="37B905D4"/>
    <w:rsid w:val="3CB81B64"/>
    <w:rsid w:val="3E96224E"/>
    <w:rsid w:val="3F563343"/>
    <w:rsid w:val="42645CD9"/>
    <w:rsid w:val="436E45AE"/>
    <w:rsid w:val="43824FBB"/>
    <w:rsid w:val="46AA3342"/>
    <w:rsid w:val="46D85D22"/>
    <w:rsid w:val="4CE27510"/>
    <w:rsid w:val="54D51FC5"/>
    <w:rsid w:val="5A99009F"/>
    <w:rsid w:val="5AE17993"/>
    <w:rsid w:val="5DFE6EB1"/>
    <w:rsid w:val="5E8A67B8"/>
    <w:rsid w:val="61BC70BA"/>
    <w:rsid w:val="62CC5314"/>
    <w:rsid w:val="643E6FC0"/>
    <w:rsid w:val="64B0156B"/>
    <w:rsid w:val="65E5066C"/>
    <w:rsid w:val="6C2F20D7"/>
    <w:rsid w:val="6F810BB7"/>
    <w:rsid w:val="73A01ECD"/>
    <w:rsid w:val="75632D35"/>
    <w:rsid w:val="7ACE15DF"/>
    <w:rsid w:val="7D01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6FAD0"/>
  <w15:docId w15:val="{7B6DBDB2-27E2-4ADB-93A3-1FD6353E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annotation reference"/>
    <w:basedOn w:val="a0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NTKO</cp:lastModifiedBy>
  <cp:revision>2</cp:revision>
  <dcterms:created xsi:type="dcterms:W3CDTF">2017-12-07T11:13:00Z</dcterms:created>
  <dcterms:modified xsi:type="dcterms:W3CDTF">2021-10-28T04:49:00Z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